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6043" w14:textId="01D9BE3C" w:rsidR="005B2E4F" w:rsidRDefault="00E511FF" w:rsidP="00E511FF">
      <w:pPr>
        <w:jc w:val="center"/>
        <w:rPr>
          <w:rFonts w:ascii="Times New Roman" w:hAnsi="Times New Roman" w:cs="Times New Roman"/>
          <w:b/>
          <w:bCs/>
          <w:sz w:val="24"/>
          <w:szCs w:val="24"/>
        </w:rPr>
      </w:pPr>
      <w:r w:rsidRPr="00E511FF">
        <w:rPr>
          <w:rFonts w:ascii="Times New Roman" w:hAnsi="Times New Roman" w:cs="Times New Roman"/>
          <w:b/>
          <w:bCs/>
          <w:sz w:val="24"/>
          <w:szCs w:val="24"/>
        </w:rPr>
        <w:t>Правове забезпечення гендерної рівності</w:t>
      </w:r>
    </w:p>
    <w:p w14:paraId="1963AEBC" w14:textId="1B275224" w:rsidR="00E511FF" w:rsidRPr="00B75C97" w:rsidRDefault="00B75C97" w:rsidP="00B75C97">
      <w:pPr>
        <w:ind w:firstLine="284"/>
        <w:jc w:val="both"/>
        <w:rPr>
          <w:rFonts w:ascii="Times New Roman" w:hAnsi="Times New Roman" w:cs="Times New Roman"/>
          <w:sz w:val="24"/>
          <w:szCs w:val="24"/>
        </w:rPr>
      </w:pPr>
      <w:r w:rsidRPr="00B75C97">
        <w:rPr>
          <w:rFonts w:ascii="Times New Roman" w:hAnsi="Times New Roman" w:cs="Times New Roman"/>
          <w:sz w:val="24"/>
          <w:szCs w:val="24"/>
        </w:rPr>
        <w:t>Забезпечення гендерної рівності є одним із ключових принципів демократичного розвитку держави та важливою складовою захисту прав людини. Україна послідовно формує комплексну систему гендерного законодавства, що охоплює конституційні гарантії, спеціальні закони, державні програми та міжнародні зобов’язання. Нормативно-правова база спрямована на подолання дискримінації, утвердження рівних прав та можливостей жінок і чоловіків, а також створення ефективних механізмів реагування на прояви насильства, зокрема домашнього. Нижче наведено основні документи, що формують правові засади гендерної політики в Україні та впливають на діяльність закладів сектору безпеки й оборони, у тому числі ДонДУВС.</w:t>
      </w:r>
    </w:p>
    <w:p w14:paraId="7B54791F" w14:textId="77777777" w:rsidR="00230B6F" w:rsidRPr="00230B6F" w:rsidRDefault="00230B6F" w:rsidP="00230B6F">
      <w:pPr>
        <w:pStyle w:val="a3"/>
        <w:numPr>
          <w:ilvl w:val="0"/>
          <w:numId w:val="1"/>
        </w:numPr>
        <w:ind w:left="0" w:firstLine="284"/>
        <w:jc w:val="both"/>
        <w:rPr>
          <w:rFonts w:ascii="Times New Roman" w:hAnsi="Times New Roman" w:cs="Times New Roman"/>
          <w:sz w:val="24"/>
          <w:szCs w:val="24"/>
          <w:lang w:val="ru-UA"/>
        </w:rPr>
      </w:pPr>
      <w:hyperlink r:id="rId5" w:anchor="Text" w:history="1">
        <w:r w:rsidRPr="00230B6F">
          <w:rPr>
            <w:rStyle w:val="a4"/>
            <w:rFonts w:ascii="Times New Roman" w:hAnsi="Times New Roman" w:cs="Times New Roman"/>
            <w:b/>
            <w:bCs/>
            <w:i/>
            <w:iCs/>
            <w:sz w:val="24"/>
            <w:szCs w:val="24"/>
            <w:lang w:val="ru-UA"/>
          </w:rPr>
          <w:t>Стаття 2</w:t>
        </w:r>
        <w:r w:rsidRPr="00230B6F">
          <w:rPr>
            <w:rStyle w:val="a4"/>
            <w:rFonts w:ascii="Times New Roman" w:hAnsi="Times New Roman" w:cs="Times New Roman"/>
            <w:b/>
            <w:bCs/>
            <w:i/>
            <w:iCs/>
            <w:sz w:val="24"/>
            <w:szCs w:val="24"/>
            <w:lang w:val="ru-UA"/>
          </w:rPr>
          <w:t>4</w:t>
        </w:r>
        <w:r w:rsidRPr="00230B6F">
          <w:rPr>
            <w:rStyle w:val="a4"/>
            <w:rFonts w:ascii="Times New Roman" w:hAnsi="Times New Roman" w:cs="Times New Roman"/>
            <w:b/>
            <w:bCs/>
            <w:i/>
            <w:iCs/>
            <w:sz w:val="24"/>
            <w:szCs w:val="24"/>
            <w:lang w:val="ru-UA"/>
          </w:rPr>
          <w:t xml:space="preserve"> Конституції України</w:t>
        </w:r>
      </w:hyperlink>
      <w:r w:rsidRPr="00230B6F">
        <w:rPr>
          <w:rFonts w:ascii="Times New Roman" w:hAnsi="Times New Roman" w:cs="Times New Roman"/>
          <w:sz w:val="24"/>
          <w:szCs w:val="24"/>
          <w:lang w:val="ru-UA"/>
        </w:rPr>
        <w:t> гарантує, що «Громадяни мають рівні конституційні права і свободи та є рівними перед законом».</w:t>
      </w:r>
    </w:p>
    <w:p w14:paraId="12614744" w14:textId="4354BA50" w:rsidR="00230B6F" w:rsidRPr="00230B6F" w:rsidRDefault="00230B6F" w:rsidP="00230B6F">
      <w:pPr>
        <w:pStyle w:val="a3"/>
        <w:numPr>
          <w:ilvl w:val="0"/>
          <w:numId w:val="1"/>
        </w:numPr>
        <w:ind w:left="0" w:firstLine="284"/>
        <w:jc w:val="both"/>
        <w:rPr>
          <w:rStyle w:val="a4"/>
          <w:rFonts w:ascii="Times New Roman" w:hAnsi="Times New Roman" w:cs="Times New Roman"/>
          <w:b/>
          <w:bCs/>
          <w:i/>
          <w:iCs/>
          <w:color w:val="auto"/>
          <w:sz w:val="24"/>
          <w:szCs w:val="24"/>
          <w:lang w:val="ru-UA"/>
        </w:rPr>
      </w:pPr>
      <w:hyperlink r:id="rId6" w:anchor="Text" w:history="1">
        <w:r w:rsidRPr="00230B6F">
          <w:rPr>
            <w:rStyle w:val="a4"/>
            <w:rFonts w:ascii="Times New Roman" w:hAnsi="Times New Roman" w:cs="Times New Roman"/>
            <w:b/>
            <w:bCs/>
            <w:i/>
            <w:iCs/>
            <w:sz w:val="24"/>
            <w:szCs w:val="24"/>
            <w:lang w:val="ru-UA"/>
          </w:rPr>
          <w:t>Закон України в</w:t>
        </w:r>
        <w:r w:rsidRPr="00230B6F">
          <w:rPr>
            <w:rStyle w:val="a4"/>
            <w:rFonts w:ascii="Times New Roman" w:hAnsi="Times New Roman" w:cs="Times New Roman"/>
            <w:b/>
            <w:bCs/>
            <w:i/>
            <w:iCs/>
            <w:sz w:val="24"/>
            <w:szCs w:val="24"/>
            <w:lang w:val="ru-UA"/>
          </w:rPr>
          <w:t>і</w:t>
        </w:r>
        <w:r w:rsidRPr="00230B6F">
          <w:rPr>
            <w:rStyle w:val="a4"/>
            <w:rFonts w:ascii="Times New Roman" w:hAnsi="Times New Roman" w:cs="Times New Roman"/>
            <w:b/>
            <w:bCs/>
            <w:i/>
            <w:iCs/>
            <w:sz w:val="24"/>
            <w:szCs w:val="24"/>
            <w:lang w:val="ru-UA"/>
          </w:rPr>
          <w:t>д 08 вересня 2005 року № 2866-IV «Про забезпечення рівних прав та можливостей жінок і чоловіків».</w:t>
        </w:r>
      </w:hyperlink>
      <w:r w:rsidRPr="00230B6F">
        <w:rPr>
          <w:rStyle w:val="a4"/>
          <w:rFonts w:ascii="Times New Roman" w:hAnsi="Times New Roman" w:cs="Times New Roman"/>
          <w:b/>
          <w:bCs/>
          <w:i/>
          <w:iCs/>
          <w:sz w:val="24"/>
          <w:szCs w:val="24"/>
          <w:lang w:val="ru-UA"/>
        </w:rPr>
        <w:t> </w:t>
      </w:r>
      <w:r>
        <w:rPr>
          <w:rStyle w:val="a4"/>
          <w:rFonts w:ascii="Times New Roman" w:hAnsi="Times New Roman" w:cs="Times New Roman"/>
          <w:b/>
          <w:bCs/>
          <w:i/>
          <w:iCs/>
          <w:sz w:val="24"/>
          <w:szCs w:val="24"/>
        </w:rPr>
        <w:t xml:space="preserve"> </w:t>
      </w:r>
      <w:r w:rsidRPr="00230B6F">
        <w:rPr>
          <w:rStyle w:val="a4"/>
          <w:rFonts w:ascii="Times New Roman" w:hAnsi="Times New Roman" w:cs="Times New Roman"/>
          <w:color w:val="auto"/>
          <w:sz w:val="24"/>
          <w:szCs w:val="24"/>
          <w:u w:val="none"/>
          <w:lang w:val="ru-UA"/>
        </w:rPr>
        <w:t>Метою цього Закону є досягнення паритетного становища жінок і чоловіків у</w:t>
      </w:r>
      <w:r w:rsidRPr="00230B6F">
        <w:rPr>
          <w:rStyle w:val="a4"/>
          <w:rFonts w:ascii="Times New Roman" w:hAnsi="Times New Roman" w:cs="Times New Roman"/>
          <w:b/>
          <w:bCs/>
          <w:i/>
          <w:iCs/>
          <w:color w:val="auto"/>
          <w:sz w:val="24"/>
          <w:szCs w:val="24"/>
          <w:lang w:val="ru-UA"/>
        </w:rPr>
        <w:t xml:space="preserve"> </w:t>
      </w:r>
      <w:r w:rsidRPr="00230B6F">
        <w:rPr>
          <w:rStyle w:val="a4"/>
          <w:rFonts w:ascii="Times New Roman" w:hAnsi="Times New Roman" w:cs="Times New Roman"/>
          <w:color w:val="auto"/>
          <w:sz w:val="24"/>
          <w:szCs w:val="24"/>
          <w:u w:val="none"/>
          <w:lang w:val="ru-UA"/>
        </w:rPr>
        <w:t>всіх сферах життєдіяльності суспільства шляхом правового забезпечення рівних прав та можливостей жінок і чоловіків, ліквідації дискримінації за ознакою статі та застосування спеціальних тимчасових заходів, спрямованих на усунення дисбалансу між можливостями жінок і чоловіків реалізовувати рівні права, надані їм Конституцією та законами України</w:t>
      </w:r>
      <w:r w:rsidR="008C509F">
        <w:rPr>
          <w:rStyle w:val="a4"/>
          <w:rFonts w:ascii="Times New Roman" w:hAnsi="Times New Roman" w:cs="Times New Roman"/>
          <w:b/>
          <w:bCs/>
          <w:i/>
          <w:iCs/>
          <w:color w:val="auto"/>
          <w:sz w:val="24"/>
          <w:szCs w:val="24"/>
        </w:rPr>
        <w:t>.</w:t>
      </w:r>
    </w:p>
    <w:p w14:paraId="477F5719" w14:textId="77777777" w:rsidR="008C509F" w:rsidRDefault="008C509F" w:rsidP="00183719">
      <w:pPr>
        <w:pStyle w:val="a3"/>
        <w:numPr>
          <w:ilvl w:val="0"/>
          <w:numId w:val="1"/>
        </w:numPr>
        <w:ind w:left="0" w:firstLine="284"/>
        <w:jc w:val="both"/>
        <w:rPr>
          <w:rStyle w:val="a4"/>
          <w:rFonts w:ascii="Times New Roman" w:hAnsi="Times New Roman" w:cs="Times New Roman"/>
          <w:color w:val="auto"/>
          <w:sz w:val="24"/>
          <w:szCs w:val="24"/>
          <w:u w:val="none"/>
          <w:lang w:val="ru-UA"/>
        </w:rPr>
      </w:pPr>
      <w:hyperlink r:id="rId7" w:anchor="Text" w:history="1">
        <w:r w:rsidRPr="008C509F">
          <w:rPr>
            <w:rStyle w:val="a4"/>
            <w:rFonts w:ascii="Times New Roman" w:hAnsi="Times New Roman" w:cs="Times New Roman"/>
            <w:b/>
            <w:bCs/>
            <w:i/>
            <w:iCs/>
            <w:sz w:val="24"/>
            <w:szCs w:val="24"/>
            <w:lang w:val="ru-UA"/>
          </w:rPr>
          <w:t>Закон України від 06 вересня 2012 року № 5207-VI «Про засади запобігання та протидії дискримінації в Україні».</w:t>
        </w:r>
      </w:hyperlink>
      <w:r w:rsidRPr="008C509F">
        <w:rPr>
          <w:rStyle w:val="a4"/>
          <w:rFonts w:ascii="Times New Roman" w:hAnsi="Times New Roman" w:cs="Times New Roman"/>
          <w:b/>
          <w:bCs/>
          <w:i/>
          <w:iCs/>
          <w:sz w:val="24"/>
          <w:szCs w:val="24"/>
          <w:lang w:val="ru-UA"/>
        </w:rPr>
        <w:t> </w:t>
      </w:r>
      <w:r w:rsidRPr="008C509F">
        <w:rPr>
          <w:rStyle w:val="a4"/>
          <w:rFonts w:ascii="Times New Roman" w:hAnsi="Times New Roman" w:cs="Times New Roman"/>
          <w:b/>
          <w:bCs/>
          <w:i/>
          <w:iCs/>
          <w:sz w:val="24"/>
          <w:szCs w:val="24"/>
        </w:rPr>
        <w:t xml:space="preserve"> </w:t>
      </w:r>
      <w:r w:rsidRPr="008C509F">
        <w:rPr>
          <w:rStyle w:val="a4"/>
          <w:rFonts w:ascii="Times New Roman" w:hAnsi="Times New Roman" w:cs="Times New Roman"/>
          <w:color w:val="auto"/>
          <w:sz w:val="24"/>
          <w:szCs w:val="24"/>
          <w:u w:val="none"/>
          <w:lang w:val="ru-UA"/>
        </w:rPr>
        <w:t>Цей Закон визначає організаційно-правові засади запобігання та протидії дискримінації з метою забезпечення рівних можливостей щодо реалізації прав і свобод людини та громадянина.</w:t>
      </w:r>
    </w:p>
    <w:p w14:paraId="42BF1AAC" w14:textId="027E6F45" w:rsidR="008C509F" w:rsidRPr="008C509F" w:rsidRDefault="008C509F" w:rsidP="00183719">
      <w:pPr>
        <w:pStyle w:val="a3"/>
        <w:numPr>
          <w:ilvl w:val="0"/>
          <w:numId w:val="1"/>
        </w:numPr>
        <w:ind w:left="0" w:firstLine="284"/>
        <w:jc w:val="both"/>
        <w:rPr>
          <w:rStyle w:val="a4"/>
          <w:rFonts w:ascii="Times New Roman" w:hAnsi="Times New Roman" w:cs="Times New Roman"/>
          <w:color w:val="auto"/>
          <w:sz w:val="24"/>
          <w:szCs w:val="24"/>
          <w:u w:val="none"/>
          <w:lang w:val="ru-UA"/>
        </w:rPr>
      </w:pPr>
      <w:hyperlink r:id="rId8" w:anchor="Text" w:history="1">
        <w:r w:rsidRPr="008C509F">
          <w:rPr>
            <w:rStyle w:val="a4"/>
            <w:rFonts w:ascii="Times New Roman" w:hAnsi="Times New Roman" w:cs="Times New Roman"/>
            <w:b/>
            <w:bCs/>
            <w:i/>
            <w:iCs/>
            <w:sz w:val="24"/>
            <w:szCs w:val="24"/>
            <w:lang w:val="ru-UA"/>
          </w:rPr>
          <w:t>Національний план дій України з виконання резолюції Ради Безпеки ООН «Жінки, мир, безпека» до 2025 року</w:t>
        </w:r>
      </w:hyperlink>
      <w:r w:rsidRPr="008C509F">
        <w:rPr>
          <w:rStyle w:val="a4"/>
          <w:rFonts w:ascii="Times New Roman" w:hAnsi="Times New Roman" w:cs="Times New Roman"/>
          <w:b/>
          <w:bCs/>
          <w:i/>
          <w:iCs/>
          <w:sz w:val="24"/>
          <w:szCs w:val="24"/>
          <w:lang w:val="ru-UA"/>
        </w:rPr>
        <w:t> </w:t>
      </w:r>
      <w:r w:rsidRPr="008C509F">
        <w:rPr>
          <w:rStyle w:val="a4"/>
          <w:rFonts w:ascii="Times New Roman" w:hAnsi="Times New Roman" w:cs="Times New Roman"/>
          <w:b/>
          <w:bCs/>
          <w:i/>
          <w:iCs/>
          <w:sz w:val="24"/>
          <w:szCs w:val="24"/>
        </w:rPr>
        <w:t xml:space="preserve"> </w:t>
      </w:r>
      <w:r w:rsidRPr="008C509F">
        <w:rPr>
          <w:rStyle w:val="a4"/>
          <w:rFonts w:ascii="Times New Roman" w:hAnsi="Times New Roman" w:cs="Times New Roman"/>
          <w:color w:val="auto"/>
          <w:sz w:val="24"/>
          <w:szCs w:val="24"/>
          <w:u w:val="none"/>
          <w:lang w:val="ru-UA"/>
        </w:rPr>
        <w:t>(затверджено розпорядженням Кабінету Міністрів України від 24 лютого 2016 р. №113 (у редакції розпорядження Кабінету Міністрів України від 5 вересня 2018 р. № 637-р)). Основною метою документу є підвищення рівня дотримання принципу забезпечення рівних прав та можливостей жінок і чоловіків. Цей документ став один з основоположних документів для впровадження гендерної політики</w:t>
      </w:r>
      <w:r w:rsidRPr="008C509F">
        <w:rPr>
          <w:rStyle w:val="a4"/>
          <w:rFonts w:ascii="Times New Roman" w:hAnsi="Times New Roman" w:cs="Times New Roman"/>
          <w:color w:val="auto"/>
          <w:sz w:val="24"/>
          <w:szCs w:val="24"/>
          <w:u w:val="none"/>
          <w:lang w:val="ru-UA"/>
        </w:rPr>
        <w:br/>
        <w:t>в секторі безпеки й оборони.</w:t>
      </w:r>
    </w:p>
    <w:p w14:paraId="34423EB3" w14:textId="2A179A27" w:rsidR="008C509F" w:rsidRPr="007E15D9" w:rsidRDefault="007E15D9" w:rsidP="008C509F">
      <w:pPr>
        <w:pStyle w:val="a3"/>
        <w:numPr>
          <w:ilvl w:val="0"/>
          <w:numId w:val="1"/>
        </w:numPr>
        <w:ind w:left="0" w:firstLine="284"/>
        <w:jc w:val="both"/>
        <w:rPr>
          <w:rFonts w:ascii="Times New Roman" w:hAnsi="Times New Roman" w:cs="Times New Roman"/>
          <w:sz w:val="24"/>
          <w:szCs w:val="24"/>
          <w:lang w:val="ru-UA"/>
        </w:rPr>
      </w:pPr>
      <w:r w:rsidRPr="007E15D9">
        <w:rPr>
          <w:rFonts w:ascii="Times New Roman" w:hAnsi="Times New Roman" w:cs="Times New Roman"/>
          <w:i/>
          <w:iCs/>
          <w:sz w:val="24"/>
          <w:szCs w:val="24"/>
        </w:rPr>
        <w:t> </w:t>
      </w:r>
      <w:hyperlink r:id="rId9" w:history="1">
        <w:r w:rsidRPr="007E15D9">
          <w:rPr>
            <w:rStyle w:val="a4"/>
            <w:rFonts w:ascii="Times New Roman" w:hAnsi="Times New Roman" w:cs="Times New Roman"/>
            <w:b/>
            <w:bCs/>
            <w:i/>
            <w:iCs/>
            <w:sz w:val="24"/>
            <w:szCs w:val="24"/>
          </w:rPr>
          <w:t>Закон України « Про запобігання та протидію домашньому насильству»</w:t>
        </w:r>
      </w:hyperlink>
      <w:r w:rsidRPr="007E15D9">
        <w:rPr>
          <w:rFonts w:ascii="Times New Roman" w:hAnsi="Times New Roman" w:cs="Times New Roman"/>
          <w:sz w:val="24"/>
          <w:szCs w:val="24"/>
        </w:rPr>
        <w:t> від 7 січня 2018 року, в якому запропоновано інноваційний підхід щодо боротьби з цим негативним явищем у суспільстві, дано визначення домашнього насильства та закріплено механізм реагування на його випадки. З 11 січня 2019 року у Кримінальному кодексі України запроваджено статтю 126-1 «Домашнє насильство», за порушення якої передбачено настання кримінальної відповідальності (покарання у вигляді позбавлення волі строком до 2 років).</w:t>
      </w:r>
    </w:p>
    <w:p w14:paraId="0CA365FD" w14:textId="77777777" w:rsidR="007E15D9" w:rsidRPr="007E15D9" w:rsidRDefault="007E15D9" w:rsidP="007E15D9">
      <w:pPr>
        <w:pStyle w:val="a3"/>
        <w:numPr>
          <w:ilvl w:val="0"/>
          <w:numId w:val="1"/>
        </w:numPr>
        <w:ind w:left="0" w:firstLine="284"/>
        <w:jc w:val="both"/>
        <w:rPr>
          <w:rFonts w:ascii="Times New Roman" w:hAnsi="Times New Roman" w:cs="Times New Roman"/>
          <w:i/>
          <w:iCs/>
          <w:sz w:val="24"/>
          <w:szCs w:val="24"/>
        </w:rPr>
      </w:pPr>
      <w:r w:rsidRPr="007E15D9">
        <w:rPr>
          <w:rFonts w:ascii="Times New Roman" w:hAnsi="Times New Roman" w:cs="Times New Roman"/>
          <w:i/>
          <w:iCs/>
          <w:sz w:val="24"/>
          <w:szCs w:val="24"/>
        </w:rPr>
        <w:t xml:space="preserve">З 11 січня 2019 року </w:t>
      </w:r>
      <w:r w:rsidRPr="007E15D9">
        <w:rPr>
          <w:rFonts w:ascii="Times New Roman" w:hAnsi="Times New Roman" w:cs="Times New Roman"/>
          <w:sz w:val="24"/>
          <w:szCs w:val="24"/>
        </w:rPr>
        <w:t>у</w:t>
      </w:r>
      <w:r w:rsidRPr="007E15D9">
        <w:rPr>
          <w:rFonts w:ascii="Times New Roman" w:hAnsi="Times New Roman" w:cs="Times New Roman"/>
          <w:b/>
          <w:bCs/>
          <w:i/>
          <w:iCs/>
          <w:color w:val="4472C4" w:themeColor="accent1"/>
          <w:sz w:val="24"/>
          <w:szCs w:val="24"/>
          <w:u w:val="single"/>
        </w:rPr>
        <w:t> </w:t>
      </w:r>
      <w:hyperlink r:id="rId10" w:anchor="Text" w:history="1">
        <w:r w:rsidRPr="007E15D9">
          <w:rPr>
            <w:rFonts w:ascii="Times New Roman" w:hAnsi="Times New Roman" w:cs="Times New Roman"/>
            <w:b/>
            <w:bCs/>
            <w:i/>
            <w:iCs/>
            <w:color w:val="4472C4" w:themeColor="accent1"/>
            <w:sz w:val="24"/>
            <w:szCs w:val="24"/>
            <w:u w:val="single"/>
          </w:rPr>
          <w:t>Кримінальному кодексі України запроваджено статтю 126-1 «Домашнє насильство»,</w:t>
        </w:r>
      </w:hyperlink>
      <w:r w:rsidRPr="007E15D9">
        <w:rPr>
          <w:rFonts w:ascii="Times New Roman" w:hAnsi="Times New Roman" w:cs="Times New Roman"/>
          <w:i/>
          <w:iCs/>
          <w:sz w:val="24"/>
          <w:szCs w:val="24"/>
        </w:rPr>
        <w:t> за порушення якої передбачено настання кримінальної відповідальності (покарання у вигляді позбавлення волі строком до 2 років).</w:t>
      </w:r>
    </w:p>
    <w:p w14:paraId="7F2E4980" w14:textId="77777777" w:rsidR="00053079" w:rsidRPr="00053079" w:rsidRDefault="00053079" w:rsidP="00053079">
      <w:pPr>
        <w:pStyle w:val="a3"/>
        <w:numPr>
          <w:ilvl w:val="0"/>
          <w:numId w:val="1"/>
        </w:numPr>
        <w:ind w:left="0" w:firstLine="284"/>
        <w:jc w:val="both"/>
        <w:rPr>
          <w:rFonts w:ascii="Times New Roman" w:hAnsi="Times New Roman" w:cs="Times New Roman"/>
          <w:i/>
          <w:iCs/>
          <w:sz w:val="24"/>
          <w:szCs w:val="24"/>
        </w:rPr>
      </w:pPr>
      <w:hyperlink r:id="rId11" w:anchor="Text" w:history="1">
        <w:r w:rsidRPr="00053079">
          <w:rPr>
            <w:rFonts w:ascii="Times New Roman" w:hAnsi="Times New Roman" w:cs="Times New Roman"/>
            <w:b/>
            <w:bCs/>
            <w:i/>
            <w:iCs/>
            <w:color w:val="4472C4" w:themeColor="accent1"/>
            <w:sz w:val="24"/>
            <w:szCs w:val="24"/>
            <w:u w:val="single"/>
          </w:rPr>
          <w:t>Концепція Державної соціальної програми запобігання та протидії домашньому насильству та насильству за ознакою статі на період до 2025 року</w:t>
        </w:r>
      </w:hyperlink>
      <w:r w:rsidRPr="00053079">
        <w:rPr>
          <w:rFonts w:ascii="Times New Roman" w:hAnsi="Times New Roman" w:cs="Times New Roman"/>
          <w:i/>
          <w:iCs/>
          <w:sz w:val="24"/>
          <w:szCs w:val="24"/>
        </w:rPr>
        <w:t> (схвалено розпорядженням Кабінету Міністрів України від 10 жовтня 2018 р. № 728-р). Метою Програми є забезпечення розбудови системи запобігання та протидії домашньому насильству та насильству за ознакою статі відповідно до міжнародних стандартів і </w:t>
      </w:r>
      <w:hyperlink r:id="rId12" w:anchor="Text" w:history="1">
        <w:r w:rsidRPr="00053079">
          <w:rPr>
            <w:rFonts w:ascii="Times New Roman" w:hAnsi="Times New Roman" w:cs="Times New Roman"/>
            <w:i/>
            <w:iCs/>
            <w:sz w:val="24"/>
            <w:szCs w:val="24"/>
          </w:rPr>
          <w:t>Закону України </w:t>
        </w:r>
        <w:r w:rsidRPr="00053079">
          <w:rPr>
            <w:rFonts w:ascii="Times New Roman" w:hAnsi="Times New Roman" w:cs="Times New Roman"/>
            <w:sz w:val="24"/>
            <w:szCs w:val="24"/>
          </w:rPr>
          <w:t>«Про запобігання та протидію домашньому насильству</w:t>
        </w:r>
        <w:r w:rsidRPr="00053079">
          <w:rPr>
            <w:rFonts w:ascii="Times New Roman" w:hAnsi="Times New Roman" w:cs="Times New Roman"/>
            <w:i/>
            <w:iCs/>
            <w:sz w:val="24"/>
            <w:szCs w:val="24"/>
          </w:rPr>
          <w:t>»</w:t>
        </w:r>
      </w:hyperlink>
      <w:r w:rsidRPr="00053079">
        <w:rPr>
          <w:rFonts w:ascii="Times New Roman" w:hAnsi="Times New Roman" w:cs="Times New Roman"/>
          <w:i/>
          <w:iCs/>
          <w:sz w:val="24"/>
          <w:szCs w:val="24"/>
        </w:rPr>
        <w:t> в умовах децентралізації та запровадження комплексних дій та заходів, спрямованих на зменшення масштабу такого явища.</w:t>
      </w:r>
    </w:p>
    <w:p w14:paraId="66819CBD" w14:textId="1D0281DF" w:rsidR="007E15D9" w:rsidRPr="008C509F" w:rsidRDefault="00053079" w:rsidP="00053079">
      <w:pPr>
        <w:pStyle w:val="a3"/>
        <w:ind w:left="0" w:firstLine="426"/>
        <w:jc w:val="both"/>
        <w:rPr>
          <w:rStyle w:val="a4"/>
          <w:rFonts w:ascii="Times New Roman" w:hAnsi="Times New Roman" w:cs="Times New Roman"/>
          <w:color w:val="auto"/>
          <w:sz w:val="24"/>
          <w:szCs w:val="24"/>
          <w:u w:val="none"/>
          <w:lang w:val="ru-UA"/>
        </w:rPr>
      </w:pPr>
      <w:r w:rsidRPr="00053079">
        <w:rPr>
          <w:rFonts w:ascii="Times New Roman" w:hAnsi="Times New Roman" w:cs="Times New Roman"/>
          <w:sz w:val="24"/>
          <w:szCs w:val="24"/>
        </w:rPr>
        <w:t xml:space="preserve">Гендерне законодавство окрім перелічених вище документів також </w:t>
      </w:r>
      <w:r w:rsidR="002D1669">
        <w:rPr>
          <w:rFonts w:ascii="Times New Roman" w:hAnsi="Times New Roman" w:cs="Times New Roman"/>
          <w:sz w:val="24"/>
          <w:szCs w:val="24"/>
        </w:rPr>
        <w:t>охоплює такі</w:t>
      </w:r>
      <w:r w:rsidRPr="00053079">
        <w:rPr>
          <w:rFonts w:ascii="Times New Roman" w:hAnsi="Times New Roman" w:cs="Times New Roman"/>
          <w:sz w:val="24"/>
          <w:szCs w:val="24"/>
        </w:rPr>
        <w:t xml:space="preserve"> законодавч</w:t>
      </w:r>
      <w:r w:rsidR="002D1669">
        <w:rPr>
          <w:rFonts w:ascii="Times New Roman" w:hAnsi="Times New Roman" w:cs="Times New Roman"/>
          <w:sz w:val="24"/>
          <w:szCs w:val="24"/>
        </w:rPr>
        <w:t>і</w:t>
      </w:r>
      <w:r w:rsidRPr="00053079">
        <w:rPr>
          <w:rFonts w:ascii="Times New Roman" w:hAnsi="Times New Roman" w:cs="Times New Roman"/>
          <w:sz w:val="24"/>
          <w:szCs w:val="24"/>
        </w:rPr>
        <w:t xml:space="preserve"> акт</w:t>
      </w:r>
      <w:r w:rsidR="002D1669">
        <w:rPr>
          <w:rFonts w:ascii="Times New Roman" w:hAnsi="Times New Roman" w:cs="Times New Roman"/>
          <w:sz w:val="24"/>
          <w:szCs w:val="24"/>
        </w:rPr>
        <w:t>и</w:t>
      </w:r>
      <w:r w:rsidRPr="00053079">
        <w:rPr>
          <w:rFonts w:ascii="Times New Roman" w:hAnsi="Times New Roman" w:cs="Times New Roman"/>
          <w:sz w:val="24"/>
          <w:szCs w:val="24"/>
        </w:rPr>
        <w:t xml:space="preserve">, як: Кодекс законів про працю України, Сімейний кодекс України, Цивільний </w:t>
      </w:r>
      <w:r w:rsidRPr="00053079">
        <w:rPr>
          <w:rFonts w:ascii="Times New Roman" w:hAnsi="Times New Roman" w:cs="Times New Roman"/>
          <w:sz w:val="24"/>
          <w:szCs w:val="24"/>
        </w:rPr>
        <w:lastRenderedPageBreak/>
        <w:t>кодекс України та Кримінальний кодекс України, закони України про освіту, пенсійне забезпечення, державну допомогу сім’ям з дітьми, охорону праці, основи законодавства України про охорону здоров’я тощо).</w:t>
      </w:r>
    </w:p>
    <w:p w14:paraId="634D104D" w14:textId="77777777" w:rsidR="00E511FF" w:rsidRPr="008C509F" w:rsidRDefault="00E511FF" w:rsidP="00BD5E87">
      <w:pPr>
        <w:pStyle w:val="a3"/>
        <w:ind w:left="284"/>
        <w:jc w:val="both"/>
        <w:rPr>
          <w:rFonts w:ascii="Times New Roman" w:hAnsi="Times New Roman" w:cs="Times New Roman"/>
          <w:sz w:val="24"/>
          <w:szCs w:val="24"/>
        </w:rPr>
      </w:pPr>
    </w:p>
    <w:sectPr w:rsidR="00E511FF" w:rsidRPr="008C50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5F3"/>
    <w:multiLevelType w:val="multilevel"/>
    <w:tmpl w:val="7614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22B18"/>
    <w:multiLevelType w:val="multilevel"/>
    <w:tmpl w:val="EB54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15E6B"/>
    <w:multiLevelType w:val="multilevel"/>
    <w:tmpl w:val="CF92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D61B2"/>
    <w:multiLevelType w:val="multilevel"/>
    <w:tmpl w:val="7ABA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12B8A"/>
    <w:multiLevelType w:val="multilevel"/>
    <w:tmpl w:val="2B40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337CE"/>
    <w:multiLevelType w:val="multilevel"/>
    <w:tmpl w:val="4BEA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431E9"/>
    <w:multiLevelType w:val="hybridMultilevel"/>
    <w:tmpl w:val="FD5EA562"/>
    <w:lvl w:ilvl="0" w:tplc="2B96623A">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35"/>
    <w:rsid w:val="00053079"/>
    <w:rsid w:val="00075D35"/>
    <w:rsid w:val="00230B6F"/>
    <w:rsid w:val="002D1669"/>
    <w:rsid w:val="005B2E4F"/>
    <w:rsid w:val="007E15D9"/>
    <w:rsid w:val="008C509F"/>
    <w:rsid w:val="00B75C97"/>
    <w:rsid w:val="00BD5E87"/>
    <w:rsid w:val="00E511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7185"/>
  <w15:chartTrackingRefBased/>
  <w15:docId w15:val="{1C7C7AAB-BB4B-46CB-A8B2-541937EB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1FF"/>
    <w:pPr>
      <w:ind w:left="720"/>
      <w:contextualSpacing/>
    </w:pPr>
  </w:style>
  <w:style w:type="character" w:styleId="a4">
    <w:name w:val="Hyperlink"/>
    <w:basedOn w:val="a0"/>
    <w:uiPriority w:val="99"/>
    <w:unhideWhenUsed/>
    <w:rsid w:val="00230B6F"/>
    <w:rPr>
      <w:color w:val="0563C1" w:themeColor="hyperlink"/>
      <w:u w:val="single"/>
    </w:rPr>
  </w:style>
  <w:style w:type="character" w:styleId="a5">
    <w:name w:val="Unresolved Mention"/>
    <w:basedOn w:val="a0"/>
    <w:uiPriority w:val="99"/>
    <w:semiHidden/>
    <w:unhideWhenUsed/>
    <w:rsid w:val="00230B6F"/>
    <w:rPr>
      <w:color w:val="605E5C"/>
      <w:shd w:val="clear" w:color="auto" w:fill="E1DFDD"/>
    </w:rPr>
  </w:style>
  <w:style w:type="character" w:styleId="a6">
    <w:name w:val="FollowedHyperlink"/>
    <w:basedOn w:val="a0"/>
    <w:uiPriority w:val="99"/>
    <w:semiHidden/>
    <w:unhideWhenUsed/>
    <w:rsid w:val="00230B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6523">
      <w:bodyDiv w:val="1"/>
      <w:marLeft w:val="0"/>
      <w:marRight w:val="0"/>
      <w:marTop w:val="0"/>
      <w:marBottom w:val="0"/>
      <w:divBdr>
        <w:top w:val="none" w:sz="0" w:space="0" w:color="auto"/>
        <w:left w:val="none" w:sz="0" w:space="0" w:color="auto"/>
        <w:bottom w:val="none" w:sz="0" w:space="0" w:color="auto"/>
        <w:right w:val="none" w:sz="0" w:space="0" w:color="auto"/>
      </w:divBdr>
    </w:div>
    <w:div w:id="641617779">
      <w:bodyDiv w:val="1"/>
      <w:marLeft w:val="0"/>
      <w:marRight w:val="0"/>
      <w:marTop w:val="0"/>
      <w:marBottom w:val="0"/>
      <w:divBdr>
        <w:top w:val="none" w:sz="0" w:space="0" w:color="auto"/>
        <w:left w:val="none" w:sz="0" w:space="0" w:color="auto"/>
        <w:bottom w:val="none" w:sz="0" w:space="0" w:color="auto"/>
        <w:right w:val="none" w:sz="0" w:space="0" w:color="auto"/>
      </w:divBdr>
    </w:div>
    <w:div w:id="918057477">
      <w:bodyDiv w:val="1"/>
      <w:marLeft w:val="0"/>
      <w:marRight w:val="0"/>
      <w:marTop w:val="0"/>
      <w:marBottom w:val="0"/>
      <w:divBdr>
        <w:top w:val="none" w:sz="0" w:space="0" w:color="auto"/>
        <w:left w:val="none" w:sz="0" w:space="0" w:color="auto"/>
        <w:bottom w:val="none" w:sz="0" w:space="0" w:color="auto"/>
        <w:right w:val="none" w:sz="0" w:space="0" w:color="auto"/>
      </w:divBdr>
    </w:div>
    <w:div w:id="1037467616">
      <w:bodyDiv w:val="1"/>
      <w:marLeft w:val="0"/>
      <w:marRight w:val="0"/>
      <w:marTop w:val="0"/>
      <w:marBottom w:val="0"/>
      <w:divBdr>
        <w:top w:val="none" w:sz="0" w:space="0" w:color="auto"/>
        <w:left w:val="none" w:sz="0" w:space="0" w:color="auto"/>
        <w:bottom w:val="none" w:sz="0" w:space="0" w:color="auto"/>
        <w:right w:val="none" w:sz="0" w:space="0" w:color="auto"/>
      </w:divBdr>
    </w:div>
    <w:div w:id="1128083436">
      <w:bodyDiv w:val="1"/>
      <w:marLeft w:val="0"/>
      <w:marRight w:val="0"/>
      <w:marTop w:val="0"/>
      <w:marBottom w:val="0"/>
      <w:divBdr>
        <w:top w:val="none" w:sz="0" w:space="0" w:color="auto"/>
        <w:left w:val="none" w:sz="0" w:space="0" w:color="auto"/>
        <w:bottom w:val="none" w:sz="0" w:space="0" w:color="auto"/>
        <w:right w:val="none" w:sz="0" w:space="0" w:color="auto"/>
      </w:divBdr>
    </w:div>
    <w:div w:id="1200586035">
      <w:bodyDiv w:val="1"/>
      <w:marLeft w:val="0"/>
      <w:marRight w:val="0"/>
      <w:marTop w:val="0"/>
      <w:marBottom w:val="0"/>
      <w:divBdr>
        <w:top w:val="none" w:sz="0" w:space="0" w:color="auto"/>
        <w:left w:val="none" w:sz="0" w:space="0" w:color="auto"/>
        <w:bottom w:val="none" w:sz="0" w:space="0" w:color="auto"/>
        <w:right w:val="none" w:sz="0" w:space="0" w:color="auto"/>
      </w:divBdr>
    </w:div>
    <w:div w:id="1445347553">
      <w:bodyDiv w:val="1"/>
      <w:marLeft w:val="0"/>
      <w:marRight w:val="0"/>
      <w:marTop w:val="0"/>
      <w:marBottom w:val="0"/>
      <w:divBdr>
        <w:top w:val="none" w:sz="0" w:space="0" w:color="auto"/>
        <w:left w:val="none" w:sz="0" w:space="0" w:color="auto"/>
        <w:bottom w:val="none" w:sz="0" w:space="0" w:color="auto"/>
        <w:right w:val="none" w:sz="0" w:space="0" w:color="auto"/>
      </w:divBdr>
    </w:div>
    <w:div w:id="1526819913">
      <w:bodyDiv w:val="1"/>
      <w:marLeft w:val="0"/>
      <w:marRight w:val="0"/>
      <w:marTop w:val="0"/>
      <w:marBottom w:val="0"/>
      <w:divBdr>
        <w:top w:val="none" w:sz="0" w:space="0" w:color="auto"/>
        <w:left w:val="none" w:sz="0" w:space="0" w:color="auto"/>
        <w:bottom w:val="none" w:sz="0" w:space="0" w:color="auto"/>
        <w:right w:val="none" w:sz="0" w:space="0" w:color="auto"/>
      </w:divBdr>
    </w:div>
    <w:div w:id="1579167038">
      <w:bodyDiv w:val="1"/>
      <w:marLeft w:val="0"/>
      <w:marRight w:val="0"/>
      <w:marTop w:val="0"/>
      <w:marBottom w:val="0"/>
      <w:divBdr>
        <w:top w:val="none" w:sz="0" w:space="0" w:color="auto"/>
        <w:left w:val="none" w:sz="0" w:space="0" w:color="auto"/>
        <w:bottom w:val="none" w:sz="0" w:space="0" w:color="auto"/>
        <w:right w:val="none" w:sz="0" w:space="0" w:color="auto"/>
      </w:divBdr>
    </w:div>
    <w:div w:id="1601834226">
      <w:bodyDiv w:val="1"/>
      <w:marLeft w:val="0"/>
      <w:marRight w:val="0"/>
      <w:marTop w:val="0"/>
      <w:marBottom w:val="0"/>
      <w:divBdr>
        <w:top w:val="none" w:sz="0" w:space="0" w:color="auto"/>
        <w:left w:val="none" w:sz="0" w:space="0" w:color="auto"/>
        <w:bottom w:val="none" w:sz="0" w:space="0" w:color="auto"/>
        <w:right w:val="none" w:sz="0" w:space="0" w:color="auto"/>
      </w:divBdr>
    </w:div>
    <w:div w:id="18911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44-2020-%D1%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5207-17" TargetMode="External"/><Relationship Id="rId12" Type="http://schemas.openxmlformats.org/officeDocument/2006/relationships/hyperlink" Target="https://zakon.rada.gov.ua/laws/show/222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866-15" TargetMode="External"/><Relationship Id="rId11" Type="http://schemas.openxmlformats.org/officeDocument/2006/relationships/hyperlink" Target="https://zakon.rada.gov.ua/laws/show/728-2018-%D1%80" TargetMode="External"/><Relationship Id="rId5" Type="http://schemas.openxmlformats.org/officeDocument/2006/relationships/hyperlink" Target="https://zakon.rada.gov.ua/laws/show/254%D0%BA/96-%D0%B2%D1%80" TargetMode="External"/><Relationship Id="rId10" Type="http://schemas.openxmlformats.org/officeDocument/2006/relationships/hyperlink" Target="https://zakon.rada.gov.ua/laws/show/2341-14" TargetMode="External"/><Relationship Id="rId4" Type="http://schemas.openxmlformats.org/officeDocument/2006/relationships/webSettings" Target="webSettings.xml"/><Relationship Id="rId9" Type="http://schemas.openxmlformats.org/officeDocument/2006/relationships/hyperlink" Target="https://zakon.rada.gov.ua/laws/show/2229-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666</Words>
  <Characters>3798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2025-12-09T07:42:00Z</dcterms:created>
  <dcterms:modified xsi:type="dcterms:W3CDTF">2025-12-09T08:20:00Z</dcterms:modified>
</cp:coreProperties>
</file>