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23CC8" w:rsidRDefault="00C704D8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26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червня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A64ECA">
        <w:rPr>
          <w:rStyle w:val="a4"/>
          <w:color w:val="000000"/>
          <w:sz w:val="28"/>
          <w:szCs w:val="28"/>
          <w:lang w:val="uk-UA"/>
        </w:rPr>
        <w:t>4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</w:t>
      </w:r>
      <w:r w:rsidR="00623CC8">
        <w:rPr>
          <w:rStyle w:val="a4"/>
          <w:color w:val="000000"/>
          <w:sz w:val="28"/>
          <w:szCs w:val="28"/>
        </w:rPr>
        <w:t>о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23CC8">
        <w:rPr>
          <w:rStyle w:val="a4"/>
          <w:color w:val="000000"/>
          <w:sz w:val="28"/>
          <w:szCs w:val="28"/>
        </w:rPr>
        <w:t>внутрішніх</w:t>
      </w:r>
      <w:proofErr w:type="spellEnd"/>
      <w:r w:rsidR="00623CC8">
        <w:rPr>
          <w:rStyle w:val="a4"/>
          <w:color w:val="000000"/>
          <w:sz w:val="28"/>
          <w:szCs w:val="28"/>
        </w:rPr>
        <w:t xml:space="preserve"> справ </w:t>
      </w:r>
      <w:r>
        <w:rPr>
          <w:rStyle w:val="a4"/>
          <w:color w:val="000000"/>
          <w:sz w:val="28"/>
          <w:szCs w:val="28"/>
          <w:lang w:val="uk-UA"/>
        </w:rPr>
        <w:t>(Протокол №22</w:t>
      </w:r>
      <w:r w:rsidR="00623CC8">
        <w:rPr>
          <w:rStyle w:val="a4"/>
          <w:color w:val="000000"/>
          <w:sz w:val="28"/>
          <w:szCs w:val="28"/>
          <w:lang w:val="uk-UA"/>
        </w:rPr>
        <w:t>).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2832" w:rsidRDefault="003217D6" w:rsidP="00A22832">
      <w:pPr>
        <w:pStyle w:val="a7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DB3941" w:rsidRPr="00C704D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C704D8" w:rsidRPr="00C704D8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планів науково-дослідної та редакційно-видавничої діяльності університету на 2024</w:t>
      </w:r>
      <w:r w:rsidR="00C704D8" w:rsidRPr="00C704D8">
        <w:rPr>
          <w:rFonts w:ascii="Times New Roman" w:hAnsi="Times New Roman" w:cs="Times New Roman"/>
          <w:b/>
          <w:sz w:val="28"/>
          <w:szCs w:val="28"/>
        </w:rPr>
        <w:t> </w:t>
      </w:r>
      <w:r w:rsidR="00C704D8" w:rsidRPr="00C704D8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DB3941" w:rsidRPr="00C704D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DB3941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A64EC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якого доповіла</w:t>
      </w:r>
      <w:r w:rsidR="00DB394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2832" w:rsidRPr="00A22832"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</w:t>
      </w:r>
      <w:r w:rsidR="00A22832">
        <w:rPr>
          <w:rFonts w:ascii="Times New Roman" w:hAnsi="Times New Roman" w:cs="Times New Roman"/>
          <w:sz w:val="28"/>
          <w:szCs w:val="28"/>
          <w:lang w:val="uk-UA"/>
        </w:rPr>
        <w:t xml:space="preserve">ії університету, </w:t>
      </w:r>
      <w:proofErr w:type="spellStart"/>
      <w:r w:rsidR="00A22832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A22832"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="00A22832" w:rsidRPr="00A22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832" w:rsidRPr="00A22832">
        <w:rPr>
          <w:rFonts w:ascii="Times New Roman" w:hAnsi="Times New Roman" w:cs="Times New Roman"/>
          <w:b/>
          <w:sz w:val="28"/>
          <w:szCs w:val="28"/>
          <w:lang w:val="uk-UA"/>
        </w:rPr>
        <w:t>Ганна БУГА</w:t>
      </w:r>
      <w:r w:rsidR="00A228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ECA" w:rsidRPr="0033541E" w:rsidRDefault="008E6651" w:rsidP="0033541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схвалено</w:t>
      </w:r>
      <w:r w:rsidR="00A64ECA" w:rsidRPr="0033541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рішення: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hAnsi="Times New Roman" w:cs="Times New Roman"/>
          <w:sz w:val="28"/>
          <w:szCs w:val="28"/>
          <w:lang w:val="uk-UA"/>
        </w:rPr>
        <w:t>Стан виконання планів науково-дослідної та редакційно-видавничої роботи університету, навчально-наукових інститутів та підрозділів вважати задовільним, але таким, що потребує ініціативи з боку виконавців та постійного методичного супроводження відділом організації наукової роботи.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Виключити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з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1 п.1.5.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в оперативно-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розшуковій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досудовому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розслідуванні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., доцент Кравченко І.М.;</w:t>
      </w:r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к.ф.-м.н., доцент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Тімошин</w:t>
      </w:r>
      <w:proofErr w:type="spellEnd"/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А.С.;</w:t>
      </w:r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., Морозов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А.);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2 п.2.3.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стан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зброї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., доцент Кравченко І.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М., </w:t>
      </w:r>
      <w:proofErr w:type="spellStart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професор</w:t>
      </w:r>
      <w:proofErr w:type="spellEnd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., доцент Бондар В.</w:t>
      </w:r>
      <w:r w:rsidRPr="00C704D8">
        <w:rPr>
          <w:rFonts w:ascii="Times New Roman" w:hAnsi="Times New Roman" w:cs="Times New Roman"/>
          <w:bCs/>
          <w:sz w:val="28"/>
          <w:szCs w:val="28"/>
        </w:rPr>
        <w:t> </w:t>
      </w:r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С.);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D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704D8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704D8" w:rsidRPr="00C704D8" w:rsidRDefault="00C704D8" w:rsidP="00C704D8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04D8">
        <w:rPr>
          <w:sz w:val="28"/>
          <w:szCs w:val="28"/>
        </w:rPr>
        <w:t xml:space="preserve">п. 3.1. </w:t>
      </w:r>
      <w:proofErr w:type="spellStart"/>
      <w:r w:rsidRPr="00C704D8">
        <w:rPr>
          <w:sz w:val="28"/>
          <w:szCs w:val="28"/>
        </w:rPr>
        <w:t>п.п</w:t>
      </w:r>
      <w:proofErr w:type="spellEnd"/>
      <w:r w:rsidRPr="00C704D8">
        <w:rPr>
          <w:sz w:val="28"/>
          <w:szCs w:val="28"/>
        </w:rPr>
        <w:t>. 3.1.2. (</w:t>
      </w:r>
      <w:r w:rsidRPr="00C704D8">
        <w:rPr>
          <w:bCs/>
          <w:sz w:val="28"/>
          <w:szCs w:val="28"/>
        </w:rPr>
        <w:t xml:space="preserve">Система особистих немайнових прав працівника в трудовому праві: дисертаційне дослідження (автор: завідувач кафедри </w:t>
      </w:r>
      <w:proofErr w:type="spellStart"/>
      <w:r w:rsidRPr="00C704D8">
        <w:rPr>
          <w:bCs/>
          <w:sz w:val="28"/>
          <w:szCs w:val="28"/>
        </w:rPr>
        <w:t>к.ю.н</w:t>
      </w:r>
      <w:proofErr w:type="spellEnd"/>
      <w:r w:rsidRPr="00C704D8">
        <w:rPr>
          <w:bCs/>
          <w:sz w:val="28"/>
          <w:szCs w:val="28"/>
        </w:rPr>
        <w:t>., доцент Кравченко І.М.)</w:t>
      </w:r>
      <w:r w:rsidRPr="00C704D8">
        <w:rPr>
          <w:sz w:val="28"/>
          <w:szCs w:val="28"/>
        </w:rPr>
        <w:t>;</w:t>
      </w:r>
    </w:p>
    <w:p w:rsidR="00C704D8" w:rsidRPr="00C704D8" w:rsidRDefault="00C704D8" w:rsidP="00C704D8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04D8">
        <w:rPr>
          <w:sz w:val="28"/>
          <w:szCs w:val="28"/>
        </w:rPr>
        <w:t xml:space="preserve">п. 3.2. </w:t>
      </w:r>
      <w:proofErr w:type="spellStart"/>
      <w:r w:rsidRPr="00C704D8">
        <w:rPr>
          <w:sz w:val="28"/>
          <w:szCs w:val="28"/>
        </w:rPr>
        <w:t>п.п</w:t>
      </w:r>
      <w:proofErr w:type="spellEnd"/>
      <w:r w:rsidRPr="00C704D8">
        <w:rPr>
          <w:sz w:val="28"/>
          <w:szCs w:val="28"/>
        </w:rPr>
        <w:t xml:space="preserve">. 3.2.4. (Адміністративно-правове регулювання дискреційних повноважень органів місцевого самоврядування в сфері земельних відносин: дисертаційне дослідження (автор: викладач кафедри </w:t>
      </w:r>
      <w:proofErr w:type="spellStart"/>
      <w:r w:rsidRPr="00C704D8">
        <w:rPr>
          <w:sz w:val="28"/>
          <w:szCs w:val="28"/>
        </w:rPr>
        <w:t>Лавренко</w:t>
      </w:r>
      <w:proofErr w:type="spellEnd"/>
      <w:r w:rsidRPr="00C704D8">
        <w:rPr>
          <w:sz w:val="28"/>
          <w:szCs w:val="28"/>
        </w:rPr>
        <w:t xml:space="preserve"> А.І.);</w:t>
      </w:r>
    </w:p>
    <w:p w:rsidR="00C704D8" w:rsidRPr="00C704D8" w:rsidRDefault="00C704D8" w:rsidP="00C704D8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04D8">
        <w:rPr>
          <w:sz w:val="28"/>
          <w:szCs w:val="28"/>
        </w:rPr>
        <w:t xml:space="preserve">п. 3.2. </w:t>
      </w:r>
      <w:proofErr w:type="spellStart"/>
      <w:r w:rsidRPr="00C704D8">
        <w:rPr>
          <w:sz w:val="28"/>
          <w:szCs w:val="28"/>
        </w:rPr>
        <w:t>п.п</w:t>
      </w:r>
      <w:proofErr w:type="spellEnd"/>
      <w:r w:rsidRPr="00C704D8">
        <w:rPr>
          <w:sz w:val="28"/>
          <w:szCs w:val="28"/>
        </w:rPr>
        <w:t xml:space="preserve">. 3.2.5. (Особливості кримінально-правової кваліфікації та досудового розслідування умисних вбивств як воєнних злочинів і злочинів проти людяності: дисертаційне дослідження (автор: старший викладач кафедри </w:t>
      </w:r>
      <w:proofErr w:type="spellStart"/>
      <w:r w:rsidRPr="00C704D8">
        <w:rPr>
          <w:sz w:val="28"/>
          <w:szCs w:val="28"/>
        </w:rPr>
        <w:t>Кавєріна</w:t>
      </w:r>
      <w:proofErr w:type="spellEnd"/>
      <w:r w:rsidRPr="00C704D8">
        <w:rPr>
          <w:sz w:val="28"/>
          <w:szCs w:val="28"/>
        </w:rPr>
        <w:t> Т. П.).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иключити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з Плану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редакційної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>п. 6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стан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зброї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., доцент Кравченко І.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М., </w:t>
      </w:r>
      <w:proofErr w:type="spellStart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професор</w:t>
      </w:r>
      <w:proofErr w:type="spellEnd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., доцент Бондар В.</w:t>
      </w:r>
      <w:r w:rsidRPr="00C704D8">
        <w:rPr>
          <w:rFonts w:ascii="Times New Roman" w:hAnsi="Times New Roman" w:cs="Times New Roman"/>
          <w:bCs/>
          <w:sz w:val="28"/>
          <w:szCs w:val="28"/>
        </w:rPr>
        <w:t> </w:t>
      </w:r>
      <w:r w:rsidRPr="00C704D8">
        <w:rPr>
          <w:rFonts w:ascii="Times New Roman" w:hAnsi="Times New Roman" w:cs="Times New Roman"/>
          <w:bCs/>
          <w:sz w:val="28"/>
          <w:szCs w:val="28"/>
          <w:lang w:val="ru-RU"/>
        </w:rPr>
        <w:t>С.);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>п. 8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в оперативно-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розшуковій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досудовому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розслідуванні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., доцент Кравченко І.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М.;</w:t>
      </w:r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к.ф.-м.н., доцент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Тімошин</w:t>
      </w:r>
      <w:proofErr w:type="spellEnd"/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С.;</w:t>
      </w:r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., Морозов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А.).</w:t>
      </w: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корегування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1.1., 1.4., 2.22., 3.2.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. 3.2.2.), та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правоохоронної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поліцеїстики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№1 КННІ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Михайлова Р.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І.),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домедичної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№3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Руденко С.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О.),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№1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Черньонков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Я.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О.),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адміністративно-правових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№2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2,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Хозлу</w:t>
      </w:r>
      <w:proofErr w:type="spellEnd"/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І.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Шишкарьова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О.),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тактико-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№2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Коваленко В.,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Олексієнко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С.), Плану НДР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загальноправових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1 КННІ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Скидан С.)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до ДЗ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кафедр –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виконавців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C704D8" w:rsidRDefault="00C704D8" w:rsidP="00C704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недоліків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за 2024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заходи:</w:t>
      </w:r>
    </w:p>
    <w:p w:rsidR="00C704D8" w:rsidRPr="00C704D8" w:rsidRDefault="00C704D8" w:rsidP="00C704D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hAnsi="Times New Roman" w:cs="Times New Roman"/>
          <w:sz w:val="28"/>
          <w:szCs w:val="28"/>
          <w:lang w:val="uk-UA"/>
        </w:rPr>
        <w:t>Проаналізувати причини несвоєчасного виконання пунктів плану науково-дослідної роботи університету та структурних підрозділів за І півріччя 2024 року та вжити термінових заходів щодо завершення їх виконання до 01.08.2024 року.</w:t>
      </w:r>
    </w:p>
    <w:p w:rsidR="00C704D8" w:rsidRPr="00C704D8" w:rsidRDefault="00C704D8" w:rsidP="00C704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hAnsi="Times New Roman" w:cs="Times New Roman"/>
          <w:sz w:val="28"/>
          <w:szCs w:val="28"/>
          <w:lang w:val="uk-UA"/>
        </w:rPr>
        <w:t>Забезпечити повне та своєчасне виконання заходів, передбачених планами науково-дослідної роботи Донецького державного університету внутрішніх справ, навчально-наукових інститутів та підрозділів протягом ІІ</w:t>
      </w:r>
      <w:r w:rsidRPr="00C704D8">
        <w:rPr>
          <w:rFonts w:ascii="Times New Roman" w:hAnsi="Times New Roman" w:cs="Times New Roman"/>
          <w:sz w:val="28"/>
          <w:szCs w:val="28"/>
        </w:rPr>
        <w:t> </w:t>
      </w:r>
      <w:r w:rsidRPr="00C704D8">
        <w:rPr>
          <w:rFonts w:ascii="Times New Roman" w:hAnsi="Times New Roman" w:cs="Times New Roman"/>
          <w:sz w:val="28"/>
          <w:szCs w:val="28"/>
          <w:lang w:val="uk-UA"/>
        </w:rPr>
        <w:t>півріччя 2024 року.</w:t>
      </w:r>
    </w:p>
    <w:p w:rsidR="00C704D8" w:rsidRPr="00C704D8" w:rsidRDefault="00C704D8" w:rsidP="00C704D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Стан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щомісячно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кафедр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="00B45E37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ІІ </w:t>
      </w:r>
      <w:r w:rsidRPr="00C704D8">
        <w:rPr>
          <w:rFonts w:ascii="Times New Roman" w:hAnsi="Times New Roman" w:cs="Times New Roman"/>
          <w:sz w:val="28"/>
          <w:szCs w:val="28"/>
          <w:lang w:val="uk-UA"/>
        </w:rPr>
        <w:t>півріччя 2024 року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C704D8" w:rsidRDefault="00C704D8" w:rsidP="00C704D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належну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підлеглими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співробітниками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04D8">
        <w:rPr>
          <w:rFonts w:ascii="Times New Roman" w:hAnsi="Times New Roman" w:cs="Times New Roman"/>
          <w:sz w:val="28"/>
          <w:szCs w:val="28"/>
          <w:lang w:val="uk-UA"/>
        </w:rPr>
        <w:t>ІІ півріччя 2024 року.</w:t>
      </w:r>
    </w:p>
    <w:p w:rsidR="00C704D8" w:rsidRPr="00C704D8" w:rsidRDefault="00C704D8" w:rsidP="00C704D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4D8">
        <w:rPr>
          <w:rFonts w:ascii="Times New Roman" w:hAnsi="Times New Roman" w:cs="Times New Roman"/>
          <w:sz w:val="28"/>
          <w:szCs w:val="28"/>
          <w:lang w:val="uk-UA"/>
        </w:rPr>
        <w:t>Відділу організації наукової роботи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uk-UA"/>
        </w:rPr>
        <w:t>Буга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uk-UA"/>
        </w:rPr>
        <w:t xml:space="preserve"> Г.) протягом 2024 року забезпечити організацію повного виконання плану науково-дослідної роботи Донецького державного університету внутрішніх справ на 2024 рік.</w:t>
      </w:r>
    </w:p>
    <w:p w:rsidR="00C704D8" w:rsidRPr="00C704D8" w:rsidRDefault="00C704D8" w:rsidP="00C704D8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дієвого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2024 року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C704D8" w:rsidRDefault="00C704D8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04D8" w:rsidRPr="00C704D8" w:rsidRDefault="00C704D8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704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попередній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розподіл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обсягів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навчального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навантаження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науково-педагогічних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працівників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кафедр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2024/2025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другого питання доповіла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проректора університету,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доцент </w:t>
      </w:r>
      <w:r w:rsidRPr="00C704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Ольга ГАПОНЮК.</w:t>
      </w:r>
    </w:p>
    <w:p w:rsidR="00C704D8" w:rsidRDefault="00C704D8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засіданні Вченої ради прийнято рішення:</w:t>
      </w:r>
    </w:p>
    <w:p w:rsidR="00C704D8" w:rsidRPr="00C704D8" w:rsidRDefault="00C704D8" w:rsidP="00C704D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атвердити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відокремлених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2024/2025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C704D8" w:rsidRDefault="00C704D8" w:rsidP="00C704D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відокремлених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закріплення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за кафедрами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2024/2025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04D8" w:rsidRPr="00C704D8" w:rsidRDefault="00C704D8" w:rsidP="00C704D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2024/2025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науково-педагогічними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C704D8" w:rsidRDefault="00C704D8" w:rsidP="00C704D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Подати до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Головкіна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Т.),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КННІ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(Кучма О.)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обсяги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розподіленого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відокремлених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2024/2025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C704D8" w:rsidRDefault="00C704D8" w:rsidP="00C704D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-методичному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Головкіна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Т.),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КННІ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(Кучма О.) </w:t>
      </w:r>
      <w:proofErr w:type="gram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до початку</w:t>
      </w:r>
      <w:proofErr w:type="gram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2024/2025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розподіленого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відокремлених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2024/2025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Default="00C704D8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04D8" w:rsidRPr="00C704D8" w:rsidRDefault="00C704D8" w:rsidP="00C70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третього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порядку денного «</w:t>
      </w:r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ефективність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профорієнтаційних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забезпечення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конкурсного набору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абітурієнтів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Донецького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державного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внутрішніх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справ у 2023/2024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навчальному</w:t>
      </w:r>
      <w:proofErr w:type="spellEnd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704D8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році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заслухано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доповідь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профорієнтаційної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, майора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Галини</w:t>
      </w:r>
      <w:proofErr w:type="spellEnd"/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ІЗОТОВОЇ</w:t>
      </w:r>
      <w:r w:rsidRPr="00C704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704D8" w:rsidRDefault="00C704D8" w:rsidP="00750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Членами Вченої ради прийнято рішення:</w:t>
      </w:r>
    </w:p>
    <w:p w:rsidR="00C704D8" w:rsidRPr="00C704D8" w:rsidRDefault="00C704D8" w:rsidP="0075013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набору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вступників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у 2024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ступені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«Бакалавр» та «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» за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04D8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C704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04D8" w:rsidRPr="0075013F" w:rsidRDefault="00C704D8" w:rsidP="007501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Активізувати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з секторами кадрового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ГУНП</w:t>
      </w:r>
      <w:r w:rsidRPr="0075013F">
        <w:rPr>
          <w:rFonts w:ascii="Times New Roman" w:hAnsi="Times New Roman" w:cs="Times New Roman"/>
          <w:sz w:val="28"/>
          <w:szCs w:val="28"/>
        </w:rPr>
        <w:t> </w:t>
      </w:r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областей до 05.07.2024 року, в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кандидати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ОС «Бакалавр», за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направлення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справ до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75013F" w:rsidRDefault="00C704D8" w:rsidP="007501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Активізувати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з секторами кадрового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ГУНП областей до 20.07.2024 року, в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зареєстров</w:t>
      </w:r>
      <w:r w:rsidR="00B45E37">
        <w:rPr>
          <w:rFonts w:ascii="Times New Roman" w:hAnsi="Times New Roman" w:cs="Times New Roman"/>
          <w:sz w:val="28"/>
          <w:szCs w:val="28"/>
          <w:lang w:val="ru-RU"/>
        </w:rPr>
        <w:t>ані</w:t>
      </w:r>
      <w:proofErr w:type="spellEnd"/>
      <w:r w:rsid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5E37">
        <w:rPr>
          <w:rFonts w:ascii="Times New Roman" w:hAnsi="Times New Roman" w:cs="Times New Roman"/>
          <w:sz w:val="28"/>
          <w:szCs w:val="28"/>
          <w:lang w:val="ru-RU"/>
        </w:rPr>
        <w:t>кандидати</w:t>
      </w:r>
      <w:proofErr w:type="spellEnd"/>
      <w:r w:rsidR="00B45E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45E3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B45E37">
        <w:rPr>
          <w:rFonts w:ascii="Times New Roman" w:hAnsi="Times New Roman" w:cs="Times New Roman"/>
          <w:sz w:val="28"/>
          <w:szCs w:val="28"/>
          <w:lang w:val="ru-RU"/>
        </w:rPr>
        <w:t xml:space="preserve"> за ОС </w:t>
      </w:r>
      <w:r w:rsidRPr="0075013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», за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направлення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справ до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75013F" w:rsidRDefault="00C704D8" w:rsidP="007501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13F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структурних підрозділів університету до 05.07.2024 року розмістити інформаційні матеріали щодо освітніх послуг університету на сайтах та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підрозділів центрів зайнятості, соціального захисту населення, поліції, Національної гвардії, збройних сил, відділів освіти та інших партнерських установ закріплених областей України.</w:t>
      </w:r>
    </w:p>
    <w:p w:rsidR="00C704D8" w:rsidRPr="0075013F" w:rsidRDefault="00C704D8" w:rsidP="007501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13F">
        <w:rPr>
          <w:rFonts w:ascii="Times New Roman" w:hAnsi="Times New Roman" w:cs="Times New Roman"/>
          <w:sz w:val="28"/>
          <w:szCs w:val="28"/>
          <w:lang w:val="uk-UA"/>
        </w:rPr>
        <w:t>Відділу профорієнтаційної роботи (Г.</w:t>
      </w:r>
      <w:r w:rsidRPr="0075013F">
        <w:rPr>
          <w:rFonts w:ascii="Times New Roman" w:hAnsi="Times New Roman" w:cs="Times New Roman"/>
          <w:sz w:val="28"/>
          <w:szCs w:val="28"/>
        </w:rPr>
        <w:t> </w:t>
      </w:r>
      <w:r w:rsidRPr="0075013F">
        <w:rPr>
          <w:rFonts w:ascii="Times New Roman" w:hAnsi="Times New Roman" w:cs="Times New Roman"/>
          <w:sz w:val="28"/>
          <w:szCs w:val="28"/>
          <w:lang w:val="uk-UA"/>
        </w:rPr>
        <w:t>Ізотова):</w:t>
      </w:r>
    </w:p>
    <w:p w:rsidR="00C704D8" w:rsidRPr="0075013F" w:rsidRDefault="00C704D8" w:rsidP="0075013F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13F">
        <w:rPr>
          <w:sz w:val="28"/>
          <w:szCs w:val="28"/>
        </w:rPr>
        <w:lastRenderedPageBreak/>
        <w:t xml:space="preserve">Під час проведення КМБ до 20.08.2024 року провести </w:t>
      </w:r>
      <w:r w:rsidRPr="0075013F">
        <w:rPr>
          <w:sz w:val="28"/>
          <w:szCs w:val="28"/>
          <w:lang w:val="en-US"/>
        </w:rPr>
        <w:t>Google</w:t>
      </w:r>
      <w:r w:rsidRPr="0075013F">
        <w:rPr>
          <w:sz w:val="28"/>
          <w:szCs w:val="28"/>
        </w:rPr>
        <w:t>-опитування контингенту курсантів Університету 2024 року набору щодо мотивації вступу, факторів впливу на рішення щодо вступу та каналів отримання інформації.</w:t>
      </w:r>
    </w:p>
    <w:p w:rsidR="00C704D8" w:rsidRPr="0075013F" w:rsidRDefault="00C704D8" w:rsidP="0075013F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13F">
        <w:rPr>
          <w:sz w:val="28"/>
          <w:szCs w:val="28"/>
        </w:rPr>
        <w:t xml:space="preserve">До 10.09.2024 року провести </w:t>
      </w:r>
      <w:r w:rsidRPr="0075013F">
        <w:rPr>
          <w:sz w:val="28"/>
          <w:szCs w:val="28"/>
          <w:lang w:val="en-US"/>
        </w:rPr>
        <w:t>Google</w:t>
      </w:r>
      <w:r w:rsidRPr="0075013F">
        <w:rPr>
          <w:sz w:val="28"/>
          <w:szCs w:val="28"/>
        </w:rPr>
        <w:t>-опитування контингенту студентів Університету 2024 року набору щодо мотивації вступу, факторів впливу на рішення щодо вступу та каналів отримання інформації.</w:t>
      </w:r>
    </w:p>
    <w:p w:rsidR="00C704D8" w:rsidRPr="0075013F" w:rsidRDefault="00C704D8" w:rsidP="0075013F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13F">
        <w:rPr>
          <w:sz w:val="28"/>
          <w:szCs w:val="28"/>
        </w:rPr>
        <w:t xml:space="preserve">До 17.09.2024 року провести аналіз ефективності проведених профорієнтаційних заходів за минулий навчальний рік та за результатами проведеного аналізу </w:t>
      </w:r>
      <w:proofErr w:type="spellStart"/>
      <w:r w:rsidRPr="0075013F">
        <w:rPr>
          <w:sz w:val="28"/>
          <w:szCs w:val="28"/>
        </w:rPr>
        <w:t>внести</w:t>
      </w:r>
      <w:proofErr w:type="spellEnd"/>
      <w:r w:rsidRPr="0075013F">
        <w:rPr>
          <w:sz w:val="28"/>
          <w:szCs w:val="28"/>
        </w:rPr>
        <w:t xml:space="preserve"> зміни до концепції профорієнтаційної роботи Університету та його структурних підрозділів на 2024/2025 навчальний рік.</w:t>
      </w:r>
    </w:p>
    <w:p w:rsidR="00C704D8" w:rsidRDefault="00C704D8" w:rsidP="00750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04D8" w:rsidRPr="0075013F" w:rsidRDefault="0075013F" w:rsidP="00A228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01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Про стан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аспірантами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ад’юнктами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та докторантами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індивідуальних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планів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Перспективи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досліджень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здобуття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ступеня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доктора </w:t>
      </w:r>
      <w:proofErr w:type="spellStart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філософії</w:t>
      </w:r>
      <w:proofErr w:type="spellEnd"/>
      <w:r w:rsidRPr="0075013F">
        <w:rPr>
          <w:rStyle w:val="2476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, доктора наук</w:t>
      </w:r>
      <w:r w:rsidRPr="0075013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Pr="007501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заслухано доповідь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75013F">
        <w:rPr>
          <w:rFonts w:ascii="Times New Roman" w:hAnsi="Times New Roman" w:cs="Times New Roman"/>
          <w:sz w:val="28"/>
          <w:szCs w:val="28"/>
          <w:lang w:val="ru-RU"/>
        </w:rPr>
        <w:t>с.н.с</w:t>
      </w:r>
      <w:proofErr w:type="spellEnd"/>
      <w:r w:rsidRPr="007501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501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5013F">
        <w:rPr>
          <w:rFonts w:ascii="Times New Roman" w:hAnsi="Times New Roman" w:cs="Times New Roman"/>
          <w:b/>
          <w:sz w:val="28"/>
          <w:szCs w:val="28"/>
          <w:lang w:val="ru-RU"/>
        </w:rPr>
        <w:t>Юлії</w:t>
      </w:r>
      <w:proofErr w:type="spellEnd"/>
      <w:r w:rsidRPr="007501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ДАНИЛЕВСЬКОЇ</w:t>
      </w:r>
      <w:r w:rsidRPr="007501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704D8" w:rsidRPr="00B45E37" w:rsidRDefault="0075013F" w:rsidP="00B45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5E37">
        <w:rPr>
          <w:rFonts w:ascii="Times New Roman" w:eastAsia="Calibri" w:hAnsi="Times New Roman" w:cs="Times New Roman"/>
          <w:sz w:val="28"/>
          <w:szCs w:val="28"/>
          <w:lang w:val="uk-UA"/>
        </w:rPr>
        <w:t>На засіданні Вченої ради прийнято рішення: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аспірантами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ад’юнктами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задовільним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69860584"/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Констатувати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факт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4 курсу Анни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Ведернікової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Тетяни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Марченко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аспіранта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B45E37">
        <w:rPr>
          <w:rFonts w:ascii="Times New Roman" w:hAnsi="Times New Roman" w:cs="Times New Roman"/>
          <w:sz w:val="28"/>
          <w:szCs w:val="28"/>
        </w:rPr>
        <w:t> </w:t>
      </w:r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В’ячеслава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Галкіна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дозвіл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невиконання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: в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ад’юнктурі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4 курсу Анни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Ведернікової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Тетяни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Марченко; в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аспірантурі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аспіранта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4 курсу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В’ячеслава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Галкіна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45E3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, що відбувся персональний розподіл ад’юнктів 4 курсу навчання А.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Ведернікової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та Т. Марченко, обмежитись цим.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>. завідувача кафедри загально-правових дисциплі</w:t>
      </w:r>
      <w:r w:rsidR="00B45E3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B45E37">
        <w:rPr>
          <w:rFonts w:ascii="Times New Roman" w:hAnsi="Times New Roman" w:cs="Times New Roman"/>
          <w:sz w:val="28"/>
          <w:szCs w:val="28"/>
        </w:rPr>
        <w:t>факультету</w:t>
      </w:r>
      <w:proofErr w:type="spellEnd"/>
      <w:r w:rsidR="00B45E37">
        <w:rPr>
          <w:rFonts w:ascii="Times New Roman" w:hAnsi="Times New Roman" w:cs="Times New Roman"/>
          <w:sz w:val="28"/>
          <w:szCs w:val="28"/>
        </w:rPr>
        <w:t xml:space="preserve"> № 3 (В.</w:t>
      </w:r>
      <w:r w:rsidR="00B45E37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Супрун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завідувачу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докторантури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(Ю. 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Данилевській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>) до 10.07.2024 погодити відрахування з навчання аспіранта В. Галкіна з Науковим товариством студентів, курсантів, слухачів, аспірантів, ад’юнктів і молодих вчених (О. 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Габорець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>).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(В.</w:t>
      </w:r>
      <w:r w:rsidRPr="00B45E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Волянюк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завідувачу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(Ю.</w:t>
      </w:r>
      <w:r w:rsidRPr="00B45E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Данилевська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) до 10.07.2024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наказ про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аспірантурі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аспіранта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Галкіна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3 курсу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до 05.07.2024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завідувачу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Заслухати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Науковій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раді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ад’юнктів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4 курсу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їхніми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науковими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керівниками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(до 30.09.2024).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 xml:space="preserve"> посилення роботи щодо завершення дисертаційного дослідження.</w:t>
      </w:r>
    </w:p>
    <w:p w:rsidR="0075013F" w:rsidRPr="00B45E37" w:rsidRDefault="0075013F" w:rsidP="00B45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Вважати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докторанта 2 року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Семенишиної-Фіголь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> </w:t>
      </w:r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задовільним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13F" w:rsidRPr="00B45E37" w:rsidRDefault="0075013F" w:rsidP="00B45E3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Вказати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докторантам 1 року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Ярмоленку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О. (за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Котовій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В. (за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) на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активізації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04D8" w:rsidRPr="00B45E37" w:rsidRDefault="0075013F" w:rsidP="00B45E3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заслухати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до 16.09.2024 на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кафедрі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господарсько-правових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4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докторанта 1 року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Ярмоленка</w:t>
      </w:r>
      <w:proofErr w:type="spellEnd"/>
      <w:r w:rsidRPr="00B45E37">
        <w:rPr>
          <w:rFonts w:ascii="Times New Roman" w:hAnsi="Times New Roman" w:cs="Times New Roman"/>
          <w:sz w:val="28"/>
          <w:szCs w:val="28"/>
        </w:rPr>
        <w:t> </w:t>
      </w:r>
      <w:r w:rsidRPr="00B45E37">
        <w:rPr>
          <w:rFonts w:ascii="Times New Roman" w:hAnsi="Times New Roman" w:cs="Times New Roman"/>
          <w:sz w:val="28"/>
          <w:szCs w:val="28"/>
          <w:lang w:val="ru-RU"/>
        </w:rPr>
        <w:t>О. (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консультант: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B45E37">
        <w:rPr>
          <w:rFonts w:ascii="Times New Roman" w:hAnsi="Times New Roman" w:cs="Times New Roman"/>
          <w:sz w:val="28"/>
          <w:szCs w:val="28"/>
        </w:rPr>
        <w:t> </w:t>
      </w:r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Захарченко) та на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кафедрі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криміналістики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№1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Котової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В. (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консультант: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B45E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Волобуєв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) про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1 року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5E37">
        <w:rPr>
          <w:rFonts w:ascii="Times New Roman" w:hAnsi="Times New Roman" w:cs="Times New Roman"/>
          <w:sz w:val="28"/>
          <w:szCs w:val="28"/>
          <w:lang w:val="ru-RU"/>
        </w:rPr>
        <w:t>вересні</w:t>
      </w:r>
      <w:proofErr w:type="spellEnd"/>
      <w:r w:rsidRPr="00B45E37">
        <w:rPr>
          <w:rFonts w:ascii="Times New Roman" w:hAnsi="Times New Roman" w:cs="Times New Roman"/>
          <w:sz w:val="28"/>
          <w:szCs w:val="28"/>
          <w:lang w:val="ru-RU"/>
        </w:rPr>
        <w:t xml:space="preserve"> 2024 року.</w:t>
      </w:r>
    </w:p>
    <w:p w:rsidR="0002380B" w:rsidRPr="008E6844" w:rsidRDefault="008E6651" w:rsidP="00023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40BB">
        <w:rPr>
          <w:rFonts w:ascii="Times New Roman" w:hAnsi="Times New Roman" w:cs="Times New Roman"/>
          <w:sz w:val="28"/>
          <w:szCs w:val="28"/>
          <w:lang w:val="uk-UA"/>
        </w:rPr>
        <w:t xml:space="preserve">У «Різному» порядку денного засідання було розглянуто питання щодо: </w:t>
      </w:r>
      <w:r w:rsidR="0033541E" w:rsidRPr="00C704D8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вчених звань науково-педагогічним працівникам університету;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конкурсу за посадами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науково-педагогічного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складу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схвалення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кандидатур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числа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постійного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складу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заохочення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нагрудним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знаком «За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вагомий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внесок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з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нагоди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Національної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поліції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вартості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платних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надаються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Донецьким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державним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університетом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справ,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здобувачам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наукового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ступеня</w:t>
      </w:r>
      <w:proofErr w:type="spellEnd"/>
      <w:r w:rsidR="0075013F" w:rsidRPr="007501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доктора наук</w:t>
      </w:r>
      <w:r w:rsid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делегата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справ для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З’їзді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8E6844" w:rsidRPr="008E6844">
        <w:rPr>
          <w:rFonts w:ascii="Times New Roman" w:hAnsi="Times New Roman" w:cs="Times New Roman"/>
          <w:sz w:val="28"/>
          <w:szCs w:val="28"/>
          <w:lang w:val="ru-RU"/>
        </w:rPr>
        <w:t xml:space="preserve"> 2024 року</w:t>
      </w:r>
      <w:r w:rsidR="008E684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рекомендації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r w:rsidR="008E6844" w:rsidRPr="008E6844"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Національному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конкурсі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краще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юридичне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продукції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</w:t>
      </w:r>
      <w:r w:rsid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рекомендації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участі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Конкурсі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кращу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науково-технічну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профорієнтаційну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продукцію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апараті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МВС,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територіальних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органах, закладах,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установах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на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підприємствах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належать до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сфери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Міністерства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справ,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конкурсної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продукції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 за 2023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схвалення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факультет №2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справ;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Вчену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раду факультету №2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справ;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оперативну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нараду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декані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факультету №2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справ;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організацію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первинної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Маріупольському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центрі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первинної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підготовки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Академія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поліції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справ;</w:t>
      </w:r>
      <w:r w:rsid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медико-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санітарну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Донецького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державного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внутрішніх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</w:t>
      </w:r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Положення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Міжнародний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правничий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наукових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статей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здобувачів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E6844" w:rsidRP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8E68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складу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редакційної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колегії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журналу «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Центральноукраїнський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вісник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 та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публічного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управління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(«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Central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Ukrainian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Journal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Law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Public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Management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передач</w:t>
      </w:r>
      <w:r w:rsidR="0002380B" w:rsidRPr="000238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адміністративної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будівлі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розташованої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Лагерне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поле, 5, м.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Миколаїв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, на правах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Головному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управлінню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Миколаївській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разової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спеціалізованої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ради за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081 «Право»,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аспірантки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4 курсу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заочної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Поплавської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02380B" w:rsidRPr="0002380B">
        <w:rPr>
          <w:rFonts w:ascii="Times New Roman" w:hAnsi="Times New Roman" w:cs="Times New Roman"/>
          <w:sz w:val="28"/>
          <w:szCs w:val="28"/>
        </w:rPr>
        <w:t> </w:t>
      </w:r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02380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кандидатур на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муніципальної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. В.</w:t>
      </w:r>
      <w:r w:rsidR="0002380B" w:rsidRPr="000238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Бизова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науковців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23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до Правил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Донецькому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державному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 xml:space="preserve"> справ у 2024 </w:t>
      </w:r>
      <w:proofErr w:type="spellStart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02380B" w:rsidRPr="000238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380B" w:rsidRPr="0002380B" w:rsidRDefault="008E6651" w:rsidP="0002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80B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="0033541E" w:rsidRPr="0002380B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до друку: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монографії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«Формування культури здоров’я курсантів закладів вищої освіти із специфічними умовами навчання, які здійснюють підготовку поліцейських» (ав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тори: Шостак І.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О.,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Мердов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П.); колективної монографії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«Толерантність як аксіологічна основа професійної культури поліцейського» (авторський колектив: Кононенко Т.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В., Аксьонова В.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І., 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Мухіна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Г.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В.,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Гельбак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М.,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Цумарєва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В.,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Огарєнко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А.,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Чорноус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В.)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02380B" w:rsidRPr="0002380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ауково-практичних рекомендацій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«Особливості початкового етапу розслідування у кримінальних провадженнях, пов’язаних із зникненням/потраплянням у полон військовослужбовця Збройних Сил України (за матеріалами СУ ГУНП в Донецькій області)» (авторський колектив: С.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Беседа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А.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Ф. Волобуєв, О.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О.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Волобуєва та ін.); </w:t>
      </w:r>
      <w:r w:rsidR="0002380B" w:rsidRPr="0002380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бірник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наукових праць «Правовий часопис Донбасу» («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Law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journal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Donbass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») №2(87)2024; </w:t>
      </w:r>
      <w:r w:rsidR="0002380B" w:rsidRPr="0002380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урнал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Центральноукраїнський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вісник права та публічного управління» («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Central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Ukrainian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Journal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Law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Public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Management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») №2(6)2024; наукового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журнал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«Вісник Луганського навчально-наукового інституту імені Е.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Дідоренка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(«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Bulletin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Luhansk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Educational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Scientific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Institute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named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after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Didorenko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») Випуск 2(106): у 2-х частинах. 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2024; з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бірник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матеріалів </w:t>
      </w:r>
      <w:proofErr w:type="spellStart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міжкафедрального</w:t>
      </w:r>
      <w:proofErr w:type="spellEnd"/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круглого столу «Молодь у науці: п</w:t>
      </w:r>
      <w:r w:rsidR="00B45E3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роблеми права та економіки) (м.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опивницький, 17 травня 2024 р.); </w:t>
      </w:r>
      <w:r w:rsidR="0002380B" w:rsidRPr="0002380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бірник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тез Всеукраїнського науково-практичного семінару «Правова наука і державотворення в Україні в умовах сучасних викликів, породжених російською воєнною агресією: теорія, практика, перспективи розвитку» (м.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Кривий Ріг, 24 </w:t>
      </w:r>
      <w:r w:rsidR="0002380B" w:rsidRPr="0002380B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травня 2024 р.).</w:t>
      </w:r>
      <w:bookmarkStart w:id="1" w:name="_GoBack"/>
      <w:bookmarkEnd w:id="1"/>
    </w:p>
    <w:p w:rsidR="004672F8" w:rsidRPr="0033541E" w:rsidRDefault="004672F8" w:rsidP="00E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72F8" w:rsidRPr="003354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1A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C60"/>
    <w:multiLevelType w:val="multilevel"/>
    <w:tmpl w:val="EF008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 w15:restartNumberingAfterBreak="0">
    <w:nsid w:val="07230D27"/>
    <w:multiLevelType w:val="hybridMultilevel"/>
    <w:tmpl w:val="962801F2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86943F4"/>
    <w:multiLevelType w:val="hybridMultilevel"/>
    <w:tmpl w:val="670ED920"/>
    <w:lvl w:ilvl="0" w:tplc="D5A48BD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9B31975"/>
    <w:multiLevelType w:val="hybridMultilevel"/>
    <w:tmpl w:val="56BCF978"/>
    <w:lvl w:ilvl="0" w:tplc="F342B9E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CB4702"/>
    <w:multiLevelType w:val="multilevel"/>
    <w:tmpl w:val="64F6877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sz w:val="28"/>
      </w:rPr>
    </w:lvl>
  </w:abstractNum>
  <w:abstractNum w:abstractNumId="10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E1D63"/>
    <w:multiLevelType w:val="multilevel"/>
    <w:tmpl w:val="371A6A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 w15:restartNumberingAfterBreak="0">
    <w:nsid w:val="4AEB503C"/>
    <w:multiLevelType w:val="hybridMultilevel"/>
    <w:tmpl w:val="FAB45F62"/>
    <w:lvl w:ilvl="0" w:tplc="DB4A329C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7C5471"/>
    <w:multiLevelType w:val="multilevel"/>
    <w:tmpl w:val="7752F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 w15:restartNumberingAfterBreak="0">
    <w:nsid w:val="585F0C76"/>
    <w:multiLevelType w:val="hybridMultilevel"/>
    <w:tmpl w:val="5AD63D9C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56A06"/>
    <w:multiLevelType w:val="multilevel"/>
    <w:tmpl w:val="8140D4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02C373D"/>
    <w:multiLevelType w:val="hybridMultilevel"/>
    <w:tmpl w:val="EBA0DB92"/>
    <w:lvl w:ilvl="0" w:tplc="70641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4058FD"/>
    <w:multiLevelType w:val="multilevel"/>
    <w:tmpl w:val="677A15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0666B3"/>
    <w:multiLevelType w:val="hybridMultilevel"/>
    <w:tmpl w:val="4CCA4182"/>
    <w:lvl w:ilvl="0" w:tplc="D26C16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EC644E"/>
    <w:multiLevelType w:val="multilevel"/>
    <w:tmpl w:val="EF008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2" w15:restartNumberingAfterBreak="0">
    <w:nsid w:val="6D620B46"/>
    <w:multiLevelType w:val="multilevel"/>
    <w:tmpl w:val="D5A4B1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4DB3F27"/>
    <w:multiLevelType w:val="hybridMultilevel"/>
    <w:tmpl w:val="D902B054"/>
    <w:lvl w:ilvl="0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5B2035C"/>
    <w:multiLevelType w:val="hybridMultilevel"/>
    <w:tmpl w:val="359614E4"/>
    <w:lvl w:ilvl="0" w:tplc="B23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3"/>
  </w:num>
  <w:num w:numId="9">
    <w:abstractNumId w:val="20"/>
  </w:num>
  <w:num w:numId="10">
    <w:abstractNumId w:val="15"/>
  </w:num>
  <w:num w:numId="11">
    <w:abstractNumId w:val="24"/>
  </w:num>
  <w:num w:numId="12">
    <w:abstractNumId w:val="17"/>
  </w:num>
  <w:num w:numId="13">
    <w:abstractNumId w:val="19"/>
  </w:num>
  <w:num w:numId="14">
    <w:abstractNumId w:val="0"/>
  </w:num>
  <w:num w:numId="15">
    <w:abstractNumId w:val="9"/>
  </w:num>
  <w:num w:numId="16">
    <w:abstractNumId w:val="22"/>
  </w:num>
  <w:num w:numId="17">
    <w:abstractNumId w:val="2"/>
  </w:num>
  <w:num w:numId="18">
    <w:abstractNumId w:val="18"/>
  </w:num>
  <w:num w:numId="19">
    <w:abstractNumId w:val="3"/>
  </w:num>
  <w:num w:numId="20">
    <w:abstractNumId w:val="14"/>
  </w:num>
  <w:num w:numId="21">
    <w:abstractNumId w:val="21"/>
  </w:num>
  <w:num w:numId="22">
    <w:abstractNumId w:val="16"/>
  </w:num>
  <w:num w:numId="23">
    <w:abstractNumId w:val="8"/>
  </w:num>
  <w:num w:numId="24">
    <w:abstractNumId w:val="1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2380B"/>
    <w:rsid w:val="00053EB3"/>
    <w:rsid w:val="00161575"/>
    <w:rsid w:val="001678FC"/>
    <w:rsid w:val="001E7E1D"/>
    <w:rsid w:val="0022238F"/>
    <w:rsid w:val="00254253"/>
    <w:rsid w:val="00305385"/>
    <w:rsid w:val="003178F1"/>
    <w:rsid w:val="003217D6"/>
    <w:rsid w:val="0033541E"/>
    <w:rsid w:val="00402C2D"/>
    <w:rsid w:val="004672F8"/>
    <w:rsid w:val="00527808"/>
    <w:rsid w:val="00545025"/>
    <w:rsid w:val="005455EA"/>
    <w:rsid w:val="005461F8"/>
    <w:rsid w:val="00551AD1"/>
    <w:rsid w:val="005B6075"/>
    <w:rsid w:val="005C4076"/>
    <w:rsid w:val="005C40BB"/>
    <w:rsid w:val="006024E3"/>
    <w:rsid w:val="0060268F"/>
    <w:rsid w:val="00623CC8"/>
    <w:rsid w:val="00633776"/>
    <w:rsid w:val="0064749B"/>
    <w:rsid w:val="006A080A"/>
    <w:rsid w:val="006A3B18"/>
    <w:rsid w:val="006B35DC"/>
    <w:rsid w:val="007005BE"/>
    <w:rsid w:val="0075013F"/>
    <w:rsid w:val="00750A93"/>
    <w:rsid w:val="007A080B"/>
    <w:rsid w:val="008E4AD7"/>
    <w:rsid w:val="008E6651"/>
    <w:rsid w:val="008E6844"/>
    <w:rsid w:val="00900684"/>
    <w:rsid w:val="00956B0D"/>
    <w:rsid w:val="009D1056"/>
    <w:rsid w:val="00A22832"/>
    <w:rsid w:val="00A56D9E"/>
    <w:rsid w:val="00A64ECA"/>
    <w:rsid w:val="00A652E5"/>
    <w:rsid w:val="00AD2390"/>
    <w:rsid w:val="00AF6688"/>
    <w:rsid w:val="00B13D3E"/>
    <w:rsid w:val="00B22BA3"/>
    <w:rsid w:val="00B244B4"/>
    <w:rsid w:val="00B37E2F"/>
    <w:rsid w:val="00B45E37"/>
    <w:rsid w:val="00BA2AED"/>
    <w:rsid w:val="00BB5E9D"/>
    <w:rsid w:val="00BE310A"/>
    <w:rsid w:val="00C704D8"/>
    <w:rsid w:val="00CB7C18"/>
    <w:rsid w:val="00DB3941"/>
    <w:rsid w:val="00E25ED2"/>
    <w:rsid w:val="00EA0147"/>
    <w:rsid w:val="00EA0C90"/>
    <w:rsid w:val="00EC4CC5"/>
    <w:rsid w:val="00F621DB"/>
    <w:rsid w:val="00F7400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798B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aliases w:val="Bullet Points,Liste Paragraf,Numbered Standard,Bullet Styles para,Heading 2_sj,Numbered Para 1,Dot pt,No Spacing1,List Paragraph Char Char Char,Indicator Text,Bullet 1,List Paragraph1,MAIN CONTENT,List Paragraph12,Source,body 2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5455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55EA"/>
  </w:style>
  <w:style w:type="paragraph" w:styleId="3">
    <w:name w:val="Body Text 3"/>
    <w:basedOn w:val="a"/>
    <w:link w:val="30"/>
    <w:uiPriority w:val="99"/>
    <w:semiHidden/>
    <w:unhideWhenUsed/>
    <w:rsid w:val="005278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7808"/>
    <w:rPr>
      <w:sz w:val="16"/>
      <w:szCs w:val="16"/>
    </w:rPr>
  </w:style>
  <w:style w:type="paragraph" w:styleId="a9">
    <w:name w:val="Balloon Text"/>
    <w:basedOn w:val="a"/>
    <w:link w:val="aa"/>
    <w:unhideWhenUsed/>
    <w:rsid w:val="007A080B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a">
    <w:name w:val="Текст выноски Знак"/>
    <w:basedOn w:val="a0"/>
    <w:link w:val="a9"/>
    <w:rsid w:val="007A080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8E4A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4A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b">
    <w:name w:val="No Spacing"/>
    <w:uiPriority w:val="1"/>
    <w:qFormat/>
    <w:rsid w:val="006B35D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rsid w:val="00B22B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character" w:customStyle="1" w:styleId="2476">
    <w:name w:val="2476"/>
    <w:aliases w:val="baiaagaaboqcaaadiauaaawwbqaaaaaaaaaaaaaaaaaaaaaaaaaaaaaaaaaaaaaaaaaaaaaaaaaaaaaaaaaaaaaaaaaaaaaaaaaaaaaaaaaaaaaaaaaaaaaaaaaaaaaaaaaaaaaaaaaaaaaaaaaaaaaaaaaaaaaaaaaaaaaaaaaaaaaaaaaaaaaaaaaaaaaaaaaaaaaaaaaaaaaaaaaaaaaaaaaaaaaaaaaaaaa"/>
    <w:basedOn w:val="a0"/>
    <w:rsid w:val="00C704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40</cp:revision>
  <dcterms:created xsi:type="dcterms:W3CDTF">2023-01-25T13:34:00Z</dcterms:created>
  <dcterms:modified xsi:type="dcterms:W3CDTF">2024-07-02T11:02:00Z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