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49699F" w:rsidRPr="00DE6537">
        <w:rPr>
          <w:rFonts w:ascii="Times New Roman" w:hAnsi="Times New Roman" w:cs="Times New Roman"/>
          <w:b/>
          <w:sz w:val="28"/>
          <w:szCs w:val="28"/>
          <w:lang w:val="uk-UA"/>
        </w:rPr>
        <w:t>ДЕРЖАВНИЙ УНІВЕРСИТЕТ ВНУТРІШІНХ СПРАВ</w:t>
      </w: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691CD8" w:rsidRPr="00DE6537" w:rsidRDefault="00691CD8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P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DE6537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О</w:t>
      </w:r>
      <w:r w:rsidRPr="00DE65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Л</w:t>
      </w:r>
      <w:r w:rsidRPr="00DE6537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О</w:t>
      </w:r>
      <w:r w:rsidRPr="00DE6537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  <w:lang w:val="uk-UA"/>
        </w:rPr>
        <w:t>Ж</w:t>
      </w:r>
      <w:r w:rsidRPr="00DE65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DE6537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НН</w:t>
      </w:r>
      <w:r w:rsidRPr="00DE65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Я</w:t>
      </w: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 рейтингове оці</w:t>
      </w:r>
      <w:r w:rsid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нювання здобувачів вищої освіти</w:t>
      </w: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P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b/>
          <w:sz w:val="28"/>
          <w:szCs w:val="28"/>
          <w:lang w:val="uk-UA"/>
        </w:rPr>
        <w:t>СХВАЛЕНО</w:t>
      </w: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sz w:val="28"/>
          <w:szCs w:val="28"/>
          <w:lang w:val="uk-UA"/>
        </w:rPr>
        <w:t>На засіданні Вченої ради Університету</w:t>
      </w: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sz w:val="28"/>
          <w:szCs w:val="28"/>
          <w:lang w:val="uk-UA"/>
        </w:rPr>
        <w:t>від 26.08.2021, протокол № 19</w:t>
      </w: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b/>
          <w:sz w:val="28"/>
          <w:szCs w:val="28"/>
          <w:lang w:val="uk-UA"/>
        </w:rPr>
        <w:t>ЗАТВЕРДЖЕНО</w:t>
      </w: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sz w:val="28"/>
          <w:szCs w:val="28"/>
          <w:lang w:val="uk-UA"/>
        </w:rPr>
        <w:t>Наказом ректора Університету</w:t>
      </w:r>
    </w:p>
    <w:p w:rsidR="00E06FB9" w:rsidRPr="00DE6537" w:rsidRDefault="00E06FB9" w:rsidP="00DE6537">
      <w:pPr>
        <w:pStyle w:val="a8"/>
        <w:ind w:left="482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E6537">
        <w:rPr>
          <w:rFonts w:ascii="Times New Roman" w:eastAsia="Arial" w:hAnsi="Times New Roman" w:cs="Times New Roman"/>
          <w:sz w:val="28"/>
          <w:szCs w:val="28"/>
          <w:lang w:val="uk-UA"/>
        </w:rPr>
        <w:t>від 27.08.2021 № 445</w:t>
      </w:r>
    </w:p>
    <w:p w:rsidR="00E06FB9" w:rsidRPr="00DE6537" w:rsidRDefault="00E06FB9" w:rsidP="00DE6537">
      <w:pPr>
        <w:pStyle w:val="a8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537" w:rsidRPr="00DE6537" w:rsidRDefault="00DE6537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Pr="00DE6537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39D0" w:rsidRDefault="00C039D0" w:rsidP="00DE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м. Маріуполь, 2021</w:t>
      </w:r>
    </w:p>
    <w:p w:rsidR="00DE6537" w:rsidRDefault="00DE65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21664" w:rsidRPr="00DE6537" w:rsidRDefault="00F009FF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1. </w:t>
      </w:r>
      <w:r w:rsidR="00BF6694"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Загальні положення</w:t>
      </w:r>
    </w:p>
    <w:p w:rsidR="00B64BA4" w:rsidRPr="00DE6537" w:rsidRDefault="00B64BA4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F6694" w:rsidRPr="00DE6537" w:rsidRDefault="00BF669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рейтингове оцінювання здобувачів вищої освіти </w:t>
      </w:r>
      <w:r w:rsidR="00DE6537">
        <w:rPr>
          <w:rFonts w:ascii="Times New Roman" w:hAnsi="Times New Roman" w:cs="Times New Roman"/>
          <w:sz w:val="28"/>
          <w:szCs w:val="28"/>
          <w:lang w:val="uk-UA"/>
        </w:rPr>
        <w:t xml:space="preserve">            (далі -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Положення)</w:t>
      </w:r>
      <w:r w:rsidR="00DE6537">
        <w:rPr>
          <w:rFonts w:ascii="Times New Roman" w:hAnsi="Times New Roman" w:cs="Times New Roman"/>
          <w:sz w:val="28"/>
          <w:szCs w:val="28"/>
          <w:lang w:val="uk-UA"/>
        </w:rPr>
        <w:t xml:space="preserve"> у Донецькому державному університеті внутрішніх справ (далі - Університет)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розроблене відповідно до Закону України «Про вищу освіту», Статуту Донецького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організацію освітнього процесу в Донецькому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внутрішню систему забезпечення якості освіти в Донецькому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4E5" w:rsidRPr="00DE6537" w:rsidRDefault="009974E5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Рейтингове оцінювання здобувачів вищої освіти є складовою системи внутрішнього забезпечення якості освіти в </w:t>
      </w:r>
      <w:r w:rsidR="00DE6537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7B" w:rsidRPr="00DE6537" w:rsidRDefault="007A417B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Рейтингове оцінювання передбачає здійснення ранжування здобувачів вищої освіти за результатами їх персональних досягнень у навчальній, науковій, спортивній та громадській діяльності в межах навчальних груп (взводів), курсів,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спеціальностей, факультетів та </w:t>
      </w:r>
      <w:r w:rsidR="00DE6537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877" w:rsidRPr="00DE6537" w:rsidRDefault="006A287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визначає єдині підходи до формування рейтингу здобувачів вищої освіти для усіх навчальних підрозділів </w:t>
      </w:r>
      <w:r w:rsidR="00DE6537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і є обов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язковим до виконання всіма науково-педагогічними працівниками та здобувачами вищої освіти денної форми навчання.</w:t>
      </w:r>
    </w:p>
    <w:p w:rsidR="006A2877" w:rsidRPr="00DE6537" w:rsidRDefault="006A287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Метою рейтингового оцінювання здобува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чів вищої освіти </w:t>
      </w:r>
      <w:r w:rsidR="00DE6537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6A2877" w:rsidRPr="00DE6537" w:rsidRDefault="006A287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Мотивація до отримання високого рівня знань.</w:t>
      </w:r>
    </w:p>
    <w:p w:rsidR="006A2877" w:rsidRPr="00DE6537" w:rsidRDefault="006A287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оєднання в освітньому процесі навчальної, наукової та інноваційної діяльності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877" w:rsidRPr="00DE6537" w:rsidRDefault="00F009FF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2877" w:rsidRPr="00DE6537">
        <w:rPr>
          <w:rFonts w:ascii="Times New Roman" w:hAnsi="Times New Roman" w:cs="Times New Roman"/>
          <w:sz w:val="28"/>
          <w:szCs w:val="28"/>
          <w:lang w:val="uk-UA"/>
        </w:rPr>
        <w:t>. Розвиток творчої ініціативи, підвищення рівня громадської, соціальної активності та популяризація здорового способу життя.</w:t>
      </w:r>
    </w:p>
    <w:p w:rsidR="007A417B" w:rsidRPr="00DE6537" w:rsidRDefault="00F009FF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2877" w:rsidRPr="00DE653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Створення єдиної уніфікованої системи для прийняття рішень щодо заохочення здобувачів вищої освіт</w:t>
      </w:r>
      <w:r w:rsidR="00200BD7" w:rsidRPr="00DE6537">
        <w:rPr>
          <w:rFonts w:ascii="Times New Roman" w:hAnsi="Times New Roman" w:cs="Times New Roman"/>
          <w:sz w:val="28"/>
          <w:szCs w:val="28"/>
          <w:lang w:val="uk-UA"/>
        </w:rPr>
        <w:t>и, переведення студентів на вакантні місця державного замовлення, формування наукового та кадрового резервів.</w:t>
      </w:r>
    </w:p>
    <w:p w:rsidR="00F009FF" w:rsidRPr="00DE6537" w:rsidRDefault="00F009FF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5. Реалізація принципів змагальності та здорової конкуренції серед здобувачів вищої освіти.</w:t>
      </w:r>
    </w:p>
    <w:p w:rsidR="00B64BA4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5" w:rsidRPr="00DE6537" w:rsidRDefault="008C3EB9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2</w:t>
      </w:r>
      <w:r w:rsidR="00F009FF"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. Порядок формування рейтингу здобувачів вищої освіти</w:t>
      </w:r>
    </w:p>
    <w:p w:rsidR="00B64BA4" w:rsidRPr="00DE6537" w:rsidRDefault="00B64BA4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00BD7" w:rsidRPr="00DE6537" w:rsidRDefault="00C16A53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Формування р</w:t>
      </w:r>
      <w:r w:rsidR="00200BD7" w:rsidRPr="00DE6537">
        <w:rPr>
          <w:rFonts w:ascii="Times New Roman" w:hAnsi="Times New Roman" w:cs="Times New Roman"/>
          <w:sz w:val="28"/>
          <w:szCs w:val="28"/>
          <w:lang w:val="uk-UA"/>
        </w:rPr>
        <w:t>ейтин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200BD7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здійснюється після звершення навчального семестру для усіх курсів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навчання.</w:t>
      </w:r>
    </w:p>
    <w:p w:rsidR="00200BD7" w:rsidRPr="00DE6537" w:rsidRDefault="001F1E45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Рейтинговий бал здобувача вищої освіти визначається як сума отриманих балів </w:t>
      </w:r>
      <w:r w:rsidR="008C3EB9" w:rsidRPr="00DE653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8C3EB9" w:rsidRPr="00DE65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, науков</w:t>
      </w:r>
      <w:r w:rsidR="008C3EB9" w:rsidRPr="00DE65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, спортивн</w:t>
      </w:r>
      <w:r w:rsidR="008C3EB9" w:rsidRPr="00DE6537">
        <w:rPr>
          <w:rFonts w:ascii="Times New Roman" w:hAnsi="Times New Roman" w:cs="Times New Roman"/>
          <w:sz w:val="28"/>
          <w:szCs w:val="28"/>
          <w:lang w:val="uk-UA"/>
        </w:rPr>
        <w:t>у діяльність та участь 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громадському житті.</w:t>
      </w:r>
    </w:p>
    <w:p w:rsidR="002C3772" w:rsidRPr="00DE6537" w:rsidRDefault="008E126E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за тиждень після закінчення навчального семестру </w:t>
      </w:r>
      <w:r w:rsidR="002C3772" w:rsidRPr="00DE6537">
        <w:rPr>
          <w:rFonts w:ascii="Times New Roman" w:hAnsi="Times New Roman" w:cs="Times New Roman"/>
          <w:sz w:val="28"/>
          <w:szCs w:val="28"/>
          <w:lang w:val="uk-UA"/>
        </w:rPr>
        <w:t>куратори навчальних груп (взводів)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надають методистам (фахівцям факультетів) інформацію щодо рейтингу групи (навчального взводу) за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встановленою формою (додаток 1), що підтверджується рейтинг-листом (додаток 2</w:t>
      </w:r>
      <w:r w:rsidR="002C3772" w:rsidRPr="00DE6537">
        <w:rPr>
          <w:rFonts w:ascii="Times New Roman" w:hAnsi="Times New Roman" w:cs="Times New Roman"/>
          <w:sz w:val="28"/>
          <w:szCs w:val="28"/>
          <w:lang w:val="uk-UA"/>
        </w:rPr>
        <w:t>) здобувача вищої освіти.</w:t>
      </w:r>
    </w:p>
    <w:p w:rsidR="008E126E" w:rsidRPr="00DE6537" w:rsidRDefault="008E126E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Методисти (фахівці)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через </w:t>
      </w:r>
      <w:r w:rsidR="002963C1" w:rsidRPr="00DE65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діб після отримання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щодо рейтингу навчальних груп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формують загальний рейтинг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за курсами та спеціальностями</w:t>
      </w:r>
      <w:r w:rsidR="002C3772" w:rsidRPr="00DE6537">
        <w:rPr>
          <w:rFonts w:ascii="Times New Roman" w:hAnsi="Times New Roman" w:cs="Times New Roman"/>
          <w:sz w:val="28"/>
          <w:szCs w:val="28"/>
          <w:lang w:val="uk-UA"/>
        </w:rPr>
        <w:t>, який передають до навчально-методичного відділу.</w:t>
      </w:r>
    </w:p>
    <w:p w:rsidR="002C3772" w:rsidRPr="00DE6537" w:rsidRDefault="007E4839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навчально-методичного відділу не пізніше ніж через 7 діб оприлюднюють рейтингові списки здобувачів вищої освіти на </w:t>
      </w:r>
      <w:r w:rsidR="00DE6537">
        <w:rPr>
          <w:rFonts w:ascii="Times New Roman" w:hAnsi="Times New Roman" w:cs="Times New Roman"/>
          <w:sz w:val="28"/>
          <w:szCs w:val="28"/>
          <w:lang w:val="uk-UA"/>
        </w:rPr>
        <w:t>офіційному сайті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537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839" w:rsidRPr="00DE6537" w:rsidRDefault="007E4839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Ранжування здобувачів вищої освіти у рейтингових списках відбувається у спадному порядку по кожному курсу та кожній спеціальності.</w:t>
      </w:r>
    </w:p>
    <w:p w:rsidR="00B64BA4" w:rsidRPr="00DE6537" w:rsidRDefault="00572C55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При однаковій кількості балів</w:t>
      </w:r>
      <w:r w:rsidR="002963C1" w:rsidRPr="00DE6537">
        <w:rPr>
          <w:rFonts w:ascii="Times New Roman" w:hAnsi="Times New Roman" w:cs="Times New Roman"/>
          <w:sz w:val="28"/>
          <w:szCs w:val="28"/>
          <w:lang w:val="uk-UA"/>
        </w:rPr>
        <w:t>, здобувачі вищої освіти розміщуються в алфавітному порядку та займають одну позицію в рейтингу.</w:t>
      </w:r>
    </w:p>
    <w:p w:rsidR="005E070A" w:rsidRPr="00DE6537" w:rsidRDefault="005E070A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3C1" w:rsidRDefault="002963C1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3. Порядок розрахунку рейтингових показників діяльності здобувачів вищої освіти</w:t>
      </w:r>
    </w:p>
    <w:p w:rsidR="00DE6537" w:rsidRPr="00DE6537" w:rsidRDefault="00DE6537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963C1" w:rsidRPr="00DE6537" w:rsidRDefault="002963C1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Рейтинговим показником навчальної діяльності здобувача вищої освіти є його середній бал за результатами складання 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семестрової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сесі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3772" w:rsidRPr="00DE6537" w:rsidRDefault="002963C1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Середній бал здобувача вищої освіти складається з середньоарифметичного значення всіх оцінок отриманих </w:t>
      </w:r>
      <w:r w:rsidR="00772CFE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складання екзаменів, заліків, захисту курсових робіт та практик (стажування) за шкалою </w:t>
      </w:r>
      <w:r w:rsidR="00DE6537">
        <w:rPr>
          <w:rFonts w:ascii="Times New Roman" w:hAnsi="Times New Roman" w:cs="Times New Roman"/>
          <w:sz w:val="28"/>
          <w:szCs w:val="28"/>
          <w:lang w:val="uk-UA"/>
        </w:rPr>
        <w:t>ЄКТС</w:t>
      </w:r>
      <w:r w:rsidR="00772CFE"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2C55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2CFE" w:rsidRPr="00DE6537" w:rsidRDefault="00772CFE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Максимально можлива кількість балів за на</w:t>
      </w:r>
      <w:r w:rsidR="00474731" w:rsidRPr="00DE6537">
        <w:rPr>
          <w:rFonts w:ascii="Times New Roman" w:hAnsi="Times New Roman" w:cs="Times New Roman"/>
          <w:sz w:val="28"/>
          <w:szCs w:val="28"/>
          <w:lang w:val="uk-UA"/>
        </w:rPr>
        <w:t>вчальну діяльність дорівнює 100 балам.</w:t>
      </w:r>
    </w:p>
    <w:p w:rsidR="00C16A53" w:rsidRPr="00DE6537" w:rsidRDefault="00772CFE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Рейтинговий показник наукової, спортивної, громадської діяльності формується відповідно до критеріїв, наведених у додатку </w:t>
      </w:r>
      <w:r w:rsidR="00E07D17" w:rsidRPr="00DE6537">
        <w:rPr>
          <w:rFonts w:ascii="Times New Roman" w:hAnsi="Times New Roman" w:cs="Times New Roman"/>
          <w:sz w:val="28"/>
          <w:szCs w:val="28"/>
          <w:lang w:val="uk-UA"/>
        </w:rPr>
        <w:t>3 та включає в себе:</w:t>
      </w:r>
    </w:p>
    <w:p w:rsidR="00E07D17" w:rsidRPr="00DE6537" w:rsidRDefault="00E07D1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- дані щодо наукових досягнень здобувачів вищої освіти,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число що дорівнює сумі балів за досягнення у науці, які мають бути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підтвердж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особисто 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здобувачем вищої освіти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шляхом надання копій дипломів, сертифікатів, опублікованих тез та іншою інформацією щодо зайнятих призових місць у наукових заходах;</w:t>
      </w:r>
    </w:p>
    <w:p w:rsidR="00E07D17" w:rsidRPr="00DE6537" w:rsidRDefault="00E07D17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- дані щодо спортивної діяльності здобувачів вищої освіти, 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число, що дорівнює сумі балів за спортивні досягнення, які мають бути 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підтвердж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>еними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надання копій 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посвідчень, свідоцтв, наказів або інших документів про отримання спортивних звань, участі у спортивних змаганнях різного рівня, включення до складу збірної команди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D87090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тощо;</w:t>
      </w:r>
    </w:p>
    <w:p w:rsidR="00D87090" w:rsidRPr="00DE6537" w:rsidRDefault="00D8709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- дані щодо громадської діяльності здобувачів вищої освіти число, що дорівнює сумі балів за досягнення у культурно-масовій, профорієнтаційній та соціальній роботі, які мають бути підтвердженими шляхом надання копій наказів, довідок, протоколів засідань відповідних органів та інших документів.</w:t>
      </w:r>
    </w:p>
    <w:p w:rsidR="00474731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Загальний рейтинг здобувачів вищої освіти розраховується за формулою:</w:t>
      </w:r>
    </w:p>
    <w:p w:rsidR="00072B10" w:rsidRPr="00DE6537" w:rsidRDefault="00072B10" w:rsidP="00DE653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Kn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uk-UA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Sb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uk-UA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Db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uk-UA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Kd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uk-UA"/>
            </w:rPr>
            <m:t>,</m:t>
          </m:r>
        </m:oMath>
      </m:oMathPara>
    </w:p>
    <w:p w:rsidR="00072B10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де:</w:t>
      </w:r>
    </w:p>
    <w:p w:rsidR="008E126E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6537">
        <w:rPr>
          <w:rFonts w:ascii="Times New Roman" w:hAnsi="Times New Roman" w:cs="Times New Roman"/>
          <w:sz w:val="28"/>
          <w:szCs w:val="28"/>
          <w:lang w:val="en-US"/>
        </w:rPr>
        <w:lastRenderedPageBreak/>
        <w:t>Kn</w:t>
      </w:r>
      <w:proofErr w:type="spellEnd"/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</w:t>
      </w:r>
      <w:r w:rsidR="00561919" w:rsidRPr="00DE6537">
        <w:rPr>
          <w:rFonts w:ascii="Times New Roman" w:hAnsi="Times New Roman" w:cs="Times New Roman"/>
          <w:sz w:val="28"/>
          <w:szCs w:val="28"/>
          <w:lang w:val="uk-UA"/>
        </w:rPr>
        <w:t>навчання, що дорівнює 0</w:t>
      </w:r>
      <w:proofErr w:type="gramStart"/>
      <w:r w:rsidR="00561919" w:rsidRPr="00DE6537">
        <w:rPr>
          <w:rFonts w:ascii="Times New Roman" w:hAnsi="Times New Roman" w:cs="Times New Roman"/>
          <w:sz w:val="28"/>
          <w:szCs w:val="28"/>
          <w:lang w:val="uk-UA"/>
        </w:rPr>
        <w:t>,9</w:t>
      </w:r>
      <w:proofErr w:type="gramEnd"/>
      <w:r w:rsidR="00561919" w:rsidRPr="00DE6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2B10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– середній бал здобувача вищої освіти</w:t>
      </w:r>
      <w:r w:rsidR="00561919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 складання семестрової сесії;</w:t>
      </w:r>
    </w:p>
    <w:p w:rsidR="001F1E45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– сума балів за наукову, спортивну та громадську діяльність</w:t>
      </w:r>
      <w:r w:rsidR="00561919" w:rsidRPr="00DE6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2B10" w:rsidRPr="00DE6537" w:rsidRDefault="00072B10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6537">
        <w:rPr>
          <w:rFonts w:ascii="Times New Roman" w:hAnsi="Times New Roman" w:cs="Times New Roman"/>
          <w:sz w:val="28"/>
          <w:szCs w:val="28"/>
          <w:lang w:val="en-US"/>
        </w:rPr>
        <w:t>Kd</w:t>
      </w:r>
      <w:proofErr w:type="spellEnd"/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додаткового балу, що дорівнює 0</w:t>
      </w:r>
      <w:proofErr w:type="gramStart"/>
      <w:r w:rsidRPr="00DE6537">
        <w:rPr>
          <w:rFonts w:ascii="Times New Roman" w:hAnsi="Times New Roman" w:cs="Times New Roman"/>
          <w:sz w:val="28"/>
          <w:szCs w:val="28"/>
          <w:lang w:val="uk-UA"/>
        </w:rPr>
        <w:t>,1</w:t>
      </w:r>
      <w:proofErr w:type="gramEnd"/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BA4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9FF" w:rsidRPr="00DE6537" w:rsidRDefault="00561919" w:rsidP="00DE6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4. Засто</w:t>
      </w:r>
      <w:r w:rsidR="00B64BA4" w:rsidRPr="00DE6537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сування рейтингового оцінювання</w:t>
      </w:r>
    </w:p>
    <w:p w:rsidR="00B64BA4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919" w:rsidRPr="00DE6537" w:rsidRDefault="00561919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Отримані рейтингові показники діяльності здобувачів вищої освіти можуть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застосовуватись при: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1. Прийнятті рішення щодо заохочення: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- відзначення подяками або почесними грамотами;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- оголошенні подяк батькам здобувачів вищої освіти;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- публікації статті про досягнення здобувача вищої освіти у факультетській газеті на офіційному </w:t>
      </w:r>
      <w:r w:rsidR="00E9099B">
        <w:rPr>
          <w:rFonts w:ascii="Times New Roman" w:hAnsi="Times New Roman" w:cs="Times New Roman"/>
          <w:sz w:val="28"/>
          <w:szCs w:val="28"/>
          <w:lang w:val="uk-UA"/>
        </w:rPr>
        <w:t>сайті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- розміщенні фотографій кращих здобувачів вищої освіти на факультетських інформаційних стендах та офіційному </w:t>
      </w:r>
      <w:r w:rsidR="00E9099B">
        <w:rPr>
          <w:rFonts w:ascii="Times New Roman" w:hAnsi="Times New Roman" w:cs="Times New Roman"/>
          <w:sz w:val="28"/>
          <w:szCs w:val="28"/>
          <w:lang w:val="uk-UA"/>
        </w:rPr>
        <w:t>сайті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- інші види заохочень правами декана факультету та керівництва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2. Прийнятті рішення щодо переведення студентів на вакантні місця державного замовлення;</w:t>
      </w:r>
    </w:p>
    <w:p w:rsidR="00973B5C" w:rsidRPr="00DE6537" w:rsidRDefault="00973B5C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3. Формуванні наукового та кадрового резерву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BA4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BA4" w:rsidRPr="00DE6537" w:rsidRDefault="00B64BA4" w:rsidP="00DE6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5. ПРИКІНЦЕВІ ПОЛОЖЕННЯ</w:t>
      </w:r>
    </w:p>
    <w:p w:rsidR="00B64BA4" w:rsidRPr="00DE6537" w:rsidRDefault="00B64BA4" w:rsidP="00DE6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B5C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поширюється на всіх учасників освітнього процесу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E9099B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bookmarkStart w:id="0" w:name="Положення_підлягає_перегляду_та_оновленн"/>
      <w:bookmarkEnd w:id="0"/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та оприлюднюється</w:t>
      </w:r>
      <w:r w:rsidR="00973B5C" w:rsidRPr="00DE653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на офіційному</w:t>
      </w:r>
      <w:r w:rsidR="00973B5C" w:rsidRPr="00DE653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E9099B">
        <w:rPr>
          <w:rFonts w:ascii="Times New Roman" w:hAnsi="Times New Roman" w:cs="Times New Roman"/>
          <w:sz w:val="28"/>
          <w:szCs w:val="28"/>
          <w:lang w:val="uk-UA"/>
        </w:rPr>
        <w:t>сайті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99B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B5C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 w:rsidR="00973B5C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73B5C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 w:rsidR="00973B5C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973B5C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 w:rsidR="00973B5C" w:rsidRPr="00DE653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декани факультетів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проректор за напрямом навчально-методичної роботи</w:t>
      </w:r>
      <w:bookmarkStart w:id="1" w:name="_GoBack"/>
      <w:bookmarkEnd w:id="1"/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B5C" w:rsidRPr="00DE6537" w:rsidRDefault="00B64BA4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цього Положення схвалюються Вченою радою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973B5C" w:rsidRPr="00DE6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ABF" w:rsidRPr="00DE6537" w:rsidRDefault="00D20ABF" w:rsidP="00DE6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974E5" w:rsidRPr="00DE6537" w:rsidRDefault="00D20ABF" w:rsidP="00DE65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ФАКУЛЬТЕТ №__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РЕЙТИНГОВИЙ СПИСОК _____ НАВЧАЛЬНОЇ ГРУПИ (ВЗВОДУ)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361" w:type="dxa"/>
        <w:tblLook w:val="04A0"/>
      </w:tblPr>
      <w:tblGrid>
        <w:gridCol w:w="789"/>
        <w:gridCol w:w="3704"/>
        <w:gridCol w:w="2432"/>
        <w:gridCol w:w="2436"/>
      </w:tblGrid>
      <w:tr w:rsidR="00D20ABF" w:rsidRPr="00DE6537" w:rsidTr="00D20ABF">
        <w:trPr>
          <w:trHeight w:val="654"/>
        </w:trPr>
        <w:tc>
          <w:tcPr>
            <w:tcW w:w="789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4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 здобувача вищої освіти</w:t>
            </w:r>
          </w:p>
        </w:tc>
        <w:tc>
          <w:tcPr>
            <w:tcW w:w="2432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436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20ABF" w:rsidRPr="00DE6537" w:rsidTr="00D20ABF">
        <w:trPr>
          <w:trHeight w:val="333"/>
        </w:trPr>
        <w:tc>
          <w:tcPr>
            <w:tcW w:w="78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2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D20ABF">
        <w:trPr>
          <w:trHeight w:val="333"/>
        </w:trPr>
        <w:tc>
          <w:tcPr>
            <w:tcW w:w="78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2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D20ABF">
        <w:trPr>
          <w:trHeight w:val="321"/>
        </w:trPr>
        <w:tc>
          <w:tcPr>
            <w:tcW w:w="78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2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74E5" w:rsidRPr="00DE6537" w:rsidRDefault="009974E5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ABF" w:rsidRPr="00DE6537" w:rsidRDefault="00D20ABF" w:rsidP="00DE6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ABF" w:rsidRPr="00DE6537" w:rsidRDefault="00D20ABF" w:rsidP="00DE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Куратор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_______________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ім</w:t>
      </w:r>
      <w:proofErr w:type="spellEnd"/>
      <w:r w:rsidRPr="00DE653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7542D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прізвище</w:t>
      </w:r>
    </w:p>
    <w:p w:rsidR="00D20ABF" w:rsidRPr="00DE6537" w:rsidRDefault="00D20ABF" w:rsidP="00DE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20ABF" w:rsidRPr="00DE6537" w:rsidRDefault="00D20ABF" w:rsidP="00DE65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ФАКУЛЬТЕТ №__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РЕЙТИНГОВИЙ ЛИСТ </w:t>
      </w:r>
    </w:p>
    <w:p w:rsidR="00D20ABF" w:rsidRPr="00DE6537" w:rsidRDefault="00D71324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0ABF" w:rsidRPr="00DE6537">
        <w:rPr>
          <w:rFonts w:ascii="Times New Roman" w:hAnsi="Times New Roman" w:cs="Times New Roman"/>
          <w:sz w:val="28"/>
          <w:szCs w:val="28"/>
          <w:lang w:val="uk-UA"/>
        </w:rPr>
        <w:t>тудента (курсанта)_________________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>_____ НАВЧАЛЬНОЇ ГРУПИ (ВЗВОДУ)</w:t>
      </w: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ABF" w:rsidRPr="00DE6537" w:rsidRDefault="00D20ABF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777"/>
        <w:gridCol w:w="3647"/>
        <w:gridCol w:w="2394"/>
        <w:gridCol w:w="2399"/>
      </w:tblGrid>
      <w:tr w:rsidR="00D20ABF" w:rsidRPr="00DE6537" w:rsidTr="00D20ABF">
        <w:trPr>
          <w:trHeight w:val="628"/>
        </w:trPr>
        <w:tc>
          <w:tcPr>
            <w:tcW w:w="777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47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Показник діяльності </w:t>
            </w:r>
          </w:p>
        </w:tc>
        <w:tc>
          <w:tcPr>
            <w:tcW w:w="2394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399" w:type="dxa"/>
            <w:vAlign w:val="center"/>
          </w:tcPr>
          <w:p w:rsidR="00D20ABF" w:rsidRPr="00DE6537" w:rsidRDefault="00D20ABF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20ABF" w:rsidRPr="00DE6537" w:rsidTr="00245635">
        <w:trPr>
          <w:trHeight w:val="320"/>
        </w:trPr>
        <w:tc>
          <w:tcPr>
            <w:tcW w:w="9217" w:type="dxa"/>
            <w:gridSpan w:val="4"/>
          </w:tcPr>
          <w:p w:rsidR="00D20ABF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="00D20AB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діяльність</w:t>
            </w:r>
          </w:p>
        </w:tc>
      </w:tr>
      <w:tr w:rsidR="00D20ABF" w:rsidRPr="00DE6537" w:rsidTr="00D20ABF">
        <w:trPr>
          <w:trHeight w:val="320"/>
        </w:trPr>
        <w:tc>
          <w:tcPr>
            <w:tcW w:w="77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4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D20ABF">
        <w:trPr>
          <w:trHeight w:val="320"/>
        </w:trPr>
        <w:tc>
          <w:tcPr>
            <w:tcW w:w="77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4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держави і права</w:t>
            </w: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D20ABF">
        <w:trPr>
          <w:trHeight w:val="320"/>
        </w:trPr>
        <w:tc>
          <w:tcPr>
            <w:tcW w:w="77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4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903A8B">
        <w:trPr>
          <w:trHeight w:val="320"/>
        </w:trPr>
        <w:tc>
          <w:tcPr>
            <w:tcW w:w="4424" w:type="dxa"/>
            <w:gridSpan w:val="2"/>
          </w:tcPr>
          <w:p w:rsidR="00D20ABF" w:rsidRPr="00DE6537" w:rsidRDefault="00D20ABF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</w:t>
            </w:r>
            <w:r w:rsidR="00874883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E94E1D">
        <w:trPr>
          <w:trHeight w:val="320"/>
        </w:trPr>
        <w:tc>
          <w:tcPr>
            <w:tcW w:w="9217" w:type="dxa"/>
            <w:gridSpan w:val="4"/>
          </w:tcPr>
          <w:p w:rsidR="00D20ABF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="00D20AB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діяльність</w:t>
            </w:r>
          </w:p>
        </w:tc>
      </w:tr>
      <w:tr w:rsidR="00D20ABF" w:rsidRPr="00DE6537" w:rsidTr="00D20ABF">
        <w:trPr>
          <w:trHeight w:val="320"/>
        </w:trPr>
        <w:tc>
          <w:tcPr>
            <w:tcW w:w="777" w:type="dxa"/>
          </w:tcPr>
          <w:p w:rsidR="00D20ABF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47" w:type="dxa"/>
          </w:tcPr>
          <w:p w:rsidR="00D20ABF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науковій конференції на тему «__»</w:t>
            </w: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ABF" w:rsidRPr="00DE6537" w:rsidTr="00D20ABF">
        <w:trPr>
          <w:trHeight w:val="320"/>
        </w:trPr>
        <w:tc>
          <w:tcPr>
            <w:tcW w:w="77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4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D20ABF" w:rsidRPr="00DE6537" w:rsidRDefault="00D20ABF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3B2885">
        <w:trPr>
          <w:trHeight w:val="320"/>
        </w:trPr>
        <w:tc>
          <w:tcPr>
            <w:tcW w:w="4424" w:type="dxa"/>
            <w:gridSpan w:val="2"/>
          </w:tcPr>
          <w:p w:rsidR="00874883" w:rsidRPr="00DE6537" w:rsidRDefault="00874883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балів: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A64A98">
        <w:trPr>
          <w:trHeight w:val="320"/>
        </w:trPr>
        <w:tc>
          <w:tcPr>
            <w:tcW w:w="9217" w:type="dxa"/>
            <w:gridSpan w:val="4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Спортивна діяльність</w:t>
            </w: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звання кандидат у майстри спорту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646CD9">
        <w:trPr>
          <w:trHeight w:val="320"/>
        </w:trPr>
        <w:tc>
          <w:tcPr>
            <w:tcW w:w="4424" w:type="dxa"/>
            <w:gridSpan w:val="2"/>
          </w:tcPr>
          <w:p w:rsidR="00874883" w:rsidRPr="00DE6537" w:rsidRDefault="00874883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балів: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E01777">
        <w:trPr>
          <w:trHeight w:val="320"/>
        </w:trPr>
        <w:tc>
          <w:tcPr>
            <w:tcW w:w="9217" w:type="dxa"/>
            <w:gridSpan w:val="4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Громадська діяльність</w:t>
            </w: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</w:rPr>
              <w:t>язк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старости навчальної групи (взводу)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проведенні виїзного профорієнтаційного заходу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D20ABF">
        <w:trPr>
          <w:trHeight w:val="320"/>
        </w:trPr>
        <w:tc>
          <w:tcPr>
            <w:tcW w:w="77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47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факультетського культурно-масового заходу 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883" w:rsidRPr="00DE6537" w:rsidTr="005D7758">
        <w:trPr>
          <w:trHeight w:val="320"/>
        </w:trPr>
        <w:tc>
          <w:tcPr>
            <w:tcW w:w="4424" w:type="dxa"/>
            <w:gridSpan w:val="2"/>
          </w:tcPr>
          <w:p w:rsidR="00874883" w:rsidRPr="00DE6537" w:rsidRDefault="00874883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балів:</w:t>
            </w:r>
          </w:p>
        </w:tc>
        <w:tc>
          <w:tcPr>
            <w:tcW w:w="2394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874883" w:rsidRPr="00DE6537" w:rsidRDefault="008748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4883" w:rsidRPr="00DE6537" w:rsidRDefault="00874883" w:rsidP="00DE6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883" w:rsidRPr="00DE6537" w:rsidRDefault="00874883" w:rsidP="00DE6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883" w:rsidRPr="00DE6537" w:rsidRDefault="00874883" w:rsidP="00DE6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(дата)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  <w:t>підпис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proofErr w:type="spellStart"/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ім</w:t>
      </w:r>
      <w:proofErr w:type="spellEnd"/>
      <w:r w:rsidRPr="00DE653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7542D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прізвище</w:t>
      </w:r>
    </w:p>
    <w:p w:rsidR="00874883" w:rsidRPr="00DE6537" w:rsidRDefault="00874883" w:rsidP="00DE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74883" w:rsidRPr="00DE6537" w:rsidRDefault="00874883" w:rsidP="00DE65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874883" w:rsidRPr="00DE6537" w:rsidRDefault="00874883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Критерії рейтингового оцінювання здобувачів вищої освіти </w:t>
      </w:r>
    </w:p>
    <w:p w:rsidR="00874883" w:rsidRPr="00DE6537" w:rsidRDefault="00874883" w:rsidP="00DE6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537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</w:t>
      </w:r>
      <w:r w:rsidR="0049699F" w:rsidRPr="00DE6537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</w:p>
    <w:tbl>
      <w:tblPr>
        <w:tblStyle w:val="a5"/>
        <w:tblW w:w="9740" w:type="dxa"/>
        <w:tblLook w:val="04A0"/>
      </w:tblPr>
      <w:tblGrid>
        <w:gridCol w:w="777"/>
        <w:gridCol w:w="4860"/>
        <w:gridCol w:w="1701"/>
        <w:gridCol w:w="2402"/>
      </w:tblGrid>
      <w:tr w:rsidR="00874883" w:rsidRPr="00DE6537" w:rsidTr="007542DD">
        <w:trPr>
          <w:trHeight w:val="628"/>
        </w:trPr>
        <w:tc>
          <w:tcPr>
            <w:tcW w:w="777" w:type="dxa"/>
            <w:vAlign w:val="center"/>
          </w:tcPr>
          <w:p w:rsidR="00874883" w:rsidRPr="00DE6537" w:rsidRDefault="00874883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74883" w:rsidRPr="00DE6537" w:rsidRDefault="00874883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60" w:type="dxa"/>
            <w:vAlign w:val="center"/>
          </w:tcPr>
          <w:p w:rsidR="00874883" w:rsidRPr="00DE6537" w:rsidRDefault="00874883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Показник діяльності </w:t>
            </w:r>
          </w:p>
        </w:tc>
        <w:tc>
          <w:tcPr>
            <w:tcW w:w="1701" w:type="dxa"/>
            <w:vAlign w:val="center"/>
          </w:tcPr>
          <w:p w:rsidR="00874883" w:rsidRPr="00DE6537" w:rsidRDefault="00874883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402" w:type="dxa"/>
            <w:vAlign w:val="center"/>
          </w:tcPr>
          <w:p w:rsidR="00874883" w:rsidRPr="00DE6537" w:rsidRDefault="00051683" w:rsidP="00DE6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Підтверджуючий документ</w:t>
            </w:r>
          </w:p>
        </w:tc>
      </w:tr>
      <w:tr w:rsidR="00874883" w:rsidRPr="00DE6537" w:rsidTr="007542DD">
        <w:trPr>
          <w:trHeight w:val="320"/>
        </w:trPr>
        <w:tc>
          <w:tcPr>
            <w:tcW w:w="9740" w:type="dxa"/>
            <w:gridSpan w:val="4"/>
          </w:tcPr>
          <w:p w:rsidR="008748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74883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Наукова діяльність</w:t>
            </w: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Членство у науково-дослідному гуртку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2" w:type="dxa"/>
            <w:vMerge w:val="restart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учасника, програма конференції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матеріалів</w:t>
            </w: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на круглих столах, колоквіумах (без опублікування тез)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Публікація тез доповіді у матеріалах всеукраїнської конференції (круглого столу)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Публікація тез доповіді у матеріалах міжнародної конференції (круглого столу)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Публікація наукової статті: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у періодичних наукових виданнях інших держав, які входять до організації економічного співробітництва та розвитку та/або ЄС 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у періодичних наукових виданнях, що входять до переліку наукових фахових видань категорії «Б» 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 періодичних наукових виданнях, що не входять до переліку наукових фахових видань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7C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2DD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2DD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02" w:type="dxa"/>
            <w:vMerge w:val="restart"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Періодичне наукове видання, у т.ч. електронне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учасника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Грамота</w:t>
            </w: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всеукраїнському або міжнародному конкурсі наукових робіт, яка не відзначна призовим місцем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Перемога в </w:t>
            </w:r>
            <w:r w:rsidR="0049699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університетському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конкурсі наукових робіт (МВС та  МОН):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друге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третє місце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7C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2DD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Перемога у Всеукраїнському конкурсі наукових робіт: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друге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третє місце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2" w:type="dxa"/>
            <w:vMerge w:val="restart"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</w:t>
            </w:r>
          </w:p>
          <w:p w:rsidR="006F147C" w:rsidRPr="00DE6537" w:rsidRDefault="006F147C" w:rsidP="00754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Перемога у Міжнародному конкурсі наукових робіт: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перше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друге місце</w:t>
            </w: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третє місце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02" w:type="dxa"/>
            <w:vMerge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754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Членство у науково-дослідному гуртку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2" w:type="dxa"/>
            <w:vMerge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F147C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на круглих столах, колоквіумах (без опублікування тез)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учасника, програма конференції</w:t>
            </w:r>
          </w:p>
        </w:tc>
      </w:tr>
      <w:tr w:rsidR="006F147C" w:rsidRPr="00DE6537" w:rsidTr="007542DD">
        <w:trPr>
          <w:trHeight w:val="320"/>
        </w:trPr>
        <w:tc>
          <w:tcPr>
            <w:tcW w:w="777" w:type="dxa"/>
          </w:tcPr>
          <w:p w:rsidR="006F147C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F147C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</w:tcPr>
          <w:p w:rsidR="006F147C" w:rsidRPr="00DE6537" w:rsidRDefault="006F147C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Публікація тез доповіді у матеріалах всеукраїнської конференції (круглого столу)</w:t>
            </w:r>
          </w:p>
        </w:tc>
        <w:tc>
          <w:tcPr>
            <w:tcW w:w="1701" w:type="dxa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  <w:vAlign w:val="center"/>
          </w:tcPr>
          <w:p w:rsidR="006F147C" w:rsidRPr="00DE6537" w:rsidRDefault="006F147C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матеріалів</w:t>
            </w:r>
          </w:p>
        </w:tc>
      </w:tr>
      <w:tr w:rsidR="00051683" w:rsidRPr="00DE6537" w:rsidTr="007542DD">
        <w:trPr>
          <w:trHeight w:val="320"/>
        </w:trPr>
        <w:tc>
          <w:tcPr>
            <w:tcW w:w="9740" w:type="dxa"/>
            <w:gridSpan w:val="4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Спортивна діяльність</w:t>
            </w:r>
          </w:p>
        </w:tc>
      </w:tr>
      <w:tr w:rsidR="00051683" w:rsidRPr="00DE6537" w:rsidTr="007542DD">
        <w:trPr>
          <w:trHeight w:val="320"/>
        </w:trPr>
        <w:tc>
          <w:tcPr>
            <w:tcW w:w="777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0" w:type="dxa"/>
          </w:tcPr>
          <w:p w:rsidR="00051683" w:rsidRPr="00DE6537" w:rsidRDefault="00051683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звання кандидат у майстри спорту</w:t>
            </w:r>
          </w:p>
        </w:tc>
        <w:tc>
          <w:tcPr>
            <w:tcW w:w="1701" w:type="dxa"/>
          </w:tcPr>
          <w:p w:rsidR="00051683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683" w:rsidRPr="00DE6537" w:rsidTr="007542DD">
        <w:trPr>
          <w:trHeight w:val="320"/>
        </w:trPr>
        <w:tc>
          <w:tcPr>
            <w:tcW w:w="777" w:type="dxa"/>
          </w:tcPr>
          <w:p w:rsidR="00051683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0" w:type="dxa"/>
          </w:tcPr>
          <w:p w:rsidR="00051683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звання майстра спорту України</w:t>
            </w:r>
          </w:p>
        </w:tc>
        <w:tc>
          <w:tcPr>
            <w:tcW w:w="1701" w:type="dxa"/>
          </w:tcPr>
          <w:p w:rsidR="00051683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2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звання майстра спорту України міжнародного класу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до складу збірної команди </w:t>
            </w:r>
            <w:r w:rsidR="0049699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Включення до складу національної, юніорської, студентської збірної команди України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офіційних регіональних змаганнях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офіційних всеукраїнських змаганнях 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C19" w:rsidRPr="00DE6537" w:rsidTr="007542DD">
        <w:trPr>
          <w:trHeight w:val="320"/>
        </w:trPr>
        <w:tc>
          <w:tcPr>
            <w:tcW w:w="777" w:type="dxa"/>
          </w:tcPr>
          <w:p w:rsidR="00EE6C1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60" w:type="dxa"/>
          </w:tcPr>
          <w:p w:rsidR="00EE6C19" w:rsidRPr="00DE6537" w:rsidRDefault="00EE6C1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офіційних міжнародних змаганнях</w:t>
            </w:r>
          </w:p>
        </w:tc>
        <w:tc>
          <w:tcPr>
            <w:tcW w:w="1701" w:type="dxa"/>
          </w:tcPr>
          <w:p w:rsidR="00EE6C1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2" w:type="dxa"/>
          </w:tcPr>
          <w:p w:rsidR="00EE6C19" w:rsidRPr="00DE6537" w:rsidRDefault="00EE6C1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683" w:rsidRPr="00DE6537" w:rsidTr="007542DD">
        <w:trPr>
          <w:trHeight w:val="320"/>
        </w:trPr>
        <w:tc>
          <w:tcPr>
            <w:tcW w:w="9740" w:type="dxa"/>
            <w:gridSpan w:val="4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Громадська діяльність</w:t>
            </w:r>
          </w:p>
        </w:tc>
      </w:tr>
      <w:tr w:rsidR="00051683" w:rsidRPr="00DE6537" w:rsidTr="007542DD">
        <w:trPr>
          <w:trHeight w:val="320"/>
        </w:trPr>
        <w:tc>
          <w:tcPr>
            <w:tcW w:w="777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0" w:type="dxa"/>
          </w:tcPr>
          <w:p w:rsidR="00051683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роботі курсантсько-студентського самоврядування: </w:t>
            </w:r>
          </w:p>
        </w:tc>
        <w:tc>
          <w:tcPr>
            <w:tcW w:w="1701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2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683" w:rsidRPr="00DE6537" w:rsidTr="007542DD">
        <w:trPr>
          <w:trHeight w:val="320"/>
        </w:trPr>
        <w:tc>
          <w:tcPr>
            <w:tcW w:w="777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051683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701" w:type="dxa"/>
          </w:tcPr>
          <w:p w:rsidR="00051683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2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683" w:rsidRPr="00DE6537" w:rsidTr="007542DD">
        <w:trPr>
          <w:trHeight w:val="320"/>
        </w:trPr>
        <w:tc>
          <w:tcPr>
            <w:tcW w:w="777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051683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</w:p>
        </w:tc>
        <w:tc>
          <w:tcPr>
            <w:tcW w:w="1701" w:type="dxa"/>
          </w:tcPr>
          <w:p w:rsidR="00051683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2" w:type="dxa"/>
          </w:tcPr>
          <w:p w:rsidR="00051683" w:rsidRPr="00DE6537" w:rsidRDefault="00051683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857" w:rsidRPr="00DE6537" w:rsidTr="007542DD">
        <w:trPr>
          <w:trHeight w:val="320"/>
        </w:trPr>
        <w:tc>
          <w:tcPr>
            <w:tcW w:w="777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D25857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</w:t>
            </w:r>
          </w:p>
        </w:tc>
        <w:tc>
          <w:tcPr>
            <w:tcW w:w="1701" w:type="dxa"/>
          </w:tcPr>
          <w:p w:rsidR="00D25857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857" w:rsidRPr="00DE6537" w:rsidTr="007542DD">
        <w:trPr>
          <w:trHeight w:val="320"/>
        </w:trPr>
        <w:tc>
          <w:tcPr>
            <w:tcW w:w="777" w:type="dxa"/>
          </w:tcPr>
          <w:p w:rsidR="00D25857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0" w:type="dxa"/>
          </w:tcPr>
          <w:p w:rsidR="00D25857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старости навчальної групи (взводу)</w:t>
            </w:r>
          </w:p>
        </w:tc>
        <w:tc>
          <w:tcPr>
            <w:tcW w:w="1701" w:type="dxa"/>
          </w:tcPr>
          <w:p w:rsidR="00D25857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857" w:rsidRPr="00DE6537" w:rsidTr="007542DD">
        <w:trPr>
          <w:trHeight w:val="320"/>
        </w:trPr>
        <w:tc>
          <w:tcPr>
            <w:tcW w:w="777" w:type="dxa"/>
          </w:tcPr>
          <w:p w:rsidR="00D25857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0" w:type="dxa"/>
          </w:tcPr>
          <w:p w:rsidR="00D25857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концертних програмах, культурних заходах  </w:t>
            </w:r>
            <w:proofErr w:type="spellStart"/>
            <w:r w:rsidR="0049699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загальноуніверситетського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</w:t>
            </w:r>
          </w:p>
        </w:tc>
        <w:tc>
          <w:tcPr>
            <w:tcW w:w="1701" w:type="dxa"/>
          </w:tcPr>
          <w:p w:rsidR="00D25857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857" w:rsidRPr="00DE6537" w:rsidTr="007542DD">
        <w:trPr>
          <w:trHeight w:val="320"/>
        </w:trPr>
        <w:tc>
          <w:tcPr>
            <w:tcW w:w="777" w:type="dxa"/>
          </w:tcPr>
          <w:p w:rsidR="00D25857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60" w:type="dxa"/>
          </w:tcPr>
          <w:p w:rsidR="00D25857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концертних програмах, культурних заходах регіонального 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рівня</w:t>
            </w:r>
          </w:p>
        </w:tc>
        <w:tc>
          <w:tcPr>
            <w:tcW w:w="1701" w:type="dxa"/>
          </w:tcPr>
          <w:p w:rsidR="00D25857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402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857" w:rsidRPr="00DE6537" w:rsidTr="007542DD">
        <w:trPr>
          <w:trHeight w:val="320"/>
        </w:trPr>
        <w:tc>
          <w:tcPr>
            <w:tcW w:w="777" w:type="dxa"/>
          </w:tcPr>
          <w:p w:rsidR="00D25857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860" w:type="dxa"/>
          </w:tcPr>
          <w:p w:rsidR="00D25857" w:rsidRPr="00DE6537" w:rsidRDefault="00D25857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концертних програмах, культурних заходах всеукраїнського рівня</w:t>
            </w:r>
          </w:p>
        </w:tc>
        <w:tc>
          <w:tcPr>
            <w:tcW w:w="1701" w:type="dxa"/>
          </w:tcPr>
          <w:p w:rsidR="00D25857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2" w:type="dxa"/>
          </w:tcPr>
          <w:p w:rsidR="00D25857" w:rsidRPr="00DE6537" w:rsidRDefault="00D25857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проведенні дня відкритих дверей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проведенні тематичної профорієнтаційної зустрічі на </w:t>
            </w:r>
            <w:r w:rsidR="0049699F"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університетському</w:t>
            </w: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рівні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проведенні просвітницького заходу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профорієнтаційного контенту (презентація, фільм)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Фотографування профорієнтаційного заходу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іміджевої профорієнтаційної продукції по закладах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статті про проведення профорієнтаційного заходу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сценарного плану профорієнтаційного заходу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профорієнтаційному семінарі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профорієнтаційної продукції у соціальних мережах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Профорієнтаційних виїзд за межі міста дислокації ЗВО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профорієнтаційному он-лайн заході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ярмарку професій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фестивалі професій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флешмобі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челенджі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марафоні,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інфо-зустрічі</w:t>
            </w:r>
            <w:proofErr w:type="spellEnd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веб-коворкингі</w:t>
            </w:r>
            <w:proofErr w:type="spellEnd"/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десант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турнірі з права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дискусійному клубі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правовому тренінгу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4D9" w:rsidRPr="00DE6537" w:rsidTr="007542DD">
        <w:trPr>
          <w:trHeight w:val="320"/>
        </w:trPr>
        <w:tc>
          <w:tcPr>
            <w:tcW w:w="777" w:type="dxa"/>
          </w:tcPr>
          <w:p w:rsidR="008504D9" w:rsidRPr="00DE6537" w:rsidRDefault="007542DD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60" w:type="dxa"/>
          </w:tcPr>
          <w:p w:rsidR="008504D9" w:rsidRPr="00DE6537" w:rsidRDefault="008504D9" w:rsidP="00DE6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правовому рингу</w:t>
            </w:r>
          </w:p>
        </w:tc>
        <w:tc>
          <w:tcPr>
            <w:tcW w:w="1701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2" w:type="dxa"/>
          </w:tcPr>
          <w:p w:rsidR="008504D9" w:rsidRPr="00DE6537" w:rsidRDefault="008504D9" w:rsidP="00DE6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4883" w:rsidRPr="00DE6537" w:rsidRDefault="00874883" w:rsidP="00DE6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74883" w:rsidRPr="00DE6537" w:rsidSect="00DE653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F9" w:rsidRDefault="00EC66F9" w:rsidP="00DE6537">
      <w:pPr>
        <w:spacing w:after="0" w:line="240" w:lineRule="auto"/>
      </w:pPr>
      <w:r>
        <w:separator/>
      </w:r>
    </w:p>
  </w:endnote>
  <w:endnote w:type="continuationSeparator" w:id="0">
    <w:p w:rsidR="00EC66F9" w:rsidRDefault="00EC66F9" w:rsidP="00DE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F9" w:rsidRDefault="00EC66F9" w:rsidP="00DE6537">
      <w:pPr>
        <w:spacing w:after="0" w:line="240" w:lineRule="auto"/>
      </w:pPr>
      <w:r>
        <w:separator/>
      </w:r>
    </w:p>
  </w:footnote>
  <w:footnote w:type="continuationSeparator" w:id="0">
    <w:p w:rsidR="00EC66F9" w:rsidRDefault="00EC66F9" w:rsidP="00DE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5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6537" w:rsidRPr="00DE6537" w:rsidRDefault="00DE653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65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65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65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2D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E65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6537" w:rsidRPr="00DE6537" w:rsidRDefault="00DE6537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5188"/>
    <w:rsid w:val="00051683"/>
    <w:rsid w:val="00072B10"/>
    <w:rsid w:val="001F1E45"/>
    <w:rsid w:val="00200BD7"/>
    <w:rsid w:val="0029135D"/>
    <w:rsid w:val="002963C1"/>
    <w:rsid w:val="002C3772"/>
    <w:rsid w:val="002E5188"/>
    <w:rsid w:val="0037762B"/>
    <w:rsid w:val="003D37CF"/>
    <w:rsid w:val="00474731"/>
    <w:rsid w:val="0049699F"/>
    <w:rsid w:val="00561919"/>
    <w:rsid w:val="00572C55"/>
    <w:rsid w:val="00596D73"/>
    <w:rsid w:val="005E070A"/>
    <w:rsid w:val="00691CD8"/>
    <w:rsid w:val="006A2877"/>
    <w:rsid w:val="006F147C"/>
    <w:rsid w:val="007542DD"/>
    <w:rsid w:val="00772CFE"/>
    <w:rsid w:val="007A417B"/>
    <w:rsid w:val="007E4839"/>
    <w:rsid w:val="008504D9"/>
    <w:rsid w:val="00874883"/>
    <w:rsid w:val="008C3EB9"/>
    <w:rsid w:val="008E126E"/>
    <w:rsid w:val="0091425D"/>
    <w:rsid w:val="00973B5C"/>
    <w:rsid w:val="009974E5"/>
    <w:rsid w:val="00B00D27"/>
    <w:rsid w:val="00B64BA4"/>
    <w:rsid w:val="00BF6694"/>
    <w:rsid w:val="00C039D0"/>
    <w:rsid w:val="00C16A53"/>
    <w:rsid w:val="00D20ABF"/>
    <w:rsid w:val="00D25857"/>
    <w:rsid w:val="00D71324"/>
    <w:rsid w:val="00D87090"/>
    <w:rsid w:val="00DE4B46"/>
    <w:rsid w:val="00DE6537"/>
    <w:rsid w:val="00E06FB9"/>
    <w:rsid w:val="00E07D17"/>
    <w:rsid w:val="00E9099B"/>
    <w:rsid w:val="00EC66F9"/>
    <w:rsid w:val="00EE6C19"/>
    <w:rsid w:val="00F0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2B10"/>
    <w:rPr>
      <w:color w:val="808080"/>
    </w:rPr>
  </w:style>
  <w:style w:type="paragraph" w:styleId="a4">
    <w:name w:val="List Paragraph"/>
    <w:basedOn w:val="a"/>
    <w:uiPriority w:val="34"/>
    <w:qFormat/>
    <w:rsid w:val="00973B5C"/>
    <w:pPr>
      <w:ind w:left="720"/>
      <w:contextualSpacing/>
    </w:pPr>
  </w:style>
  <w:style w:type="table" w:styleId="a5">
    <w:name w:val="Table Grid"/>
    <w:basedOn w:val="a1"/>
    <w:uiPriority w:val="39"/>
    <w:rsid w:val="00D2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147C"/>
  </w:style>
  <w:style w:type="paragraph" w:styleId="a6">
    <w:name w:val="Balloon Text"/>
    <w:basedOn w:val="a"/>
    <w:link w:val="a7"/>
    <w:uiPriority w:val="99"/>
    <w:semiHidden/>
    <w:unhideWhenUsed/>
    <w:rsid w:val="00B6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B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6FB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DE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537"/>
  </w:style>
  <w:style w:type="paragraph" w:styleId="ab">
    <w:name w:val="footer"/>
    <w:basedOn w:val="a"/>
    <w:link w:val="ac"/>
    <w:uiPriority w:val="99"/>
    <w:semiHidden/>
    <w:unhideWhenUsed/>
    <w:rsid w:val="00DE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1E3D-EFB1-43C8-AD4A-1F182C17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</dc:creator>
  <cp:keywords/>
  <dc:description/>
  <cp:lastModifiedBy>User</cp:lastModifiedBy>
  <cp:revision>17</cp:revision>
  <dcterms:created xsi:type="dcterms:W3CDTF">2021-03-08T02:38:00Z</dcterms:created>
  <dcterms:modified xsi:type="dcterms:W3CDTF">2022-06-22T07:51:00Z</dcterms:modified>
</cp:coreProperties>
</file>